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E85" w:rsidRDefault="006A5A5B" w:rsidP="00026375">
      <w:pPr>
        <w:jc w:val="right"/>
        <w:rPr>
          <w:rFonts w:ascii="Arial" w:hAnsi="Arial" w:cs="Arial"/>
          <w:b/>
          <w:bCs/>
          <w:sz w:val="28"/>
        </w:rPr>
      </w:pPr>
      <w:r w:rsidRPr="006A5A5B">
        <w:rPr>
          <w:rFonts w:ascii="Arial" w:hAnsi="Arial" w:cs="Arial"/>
          <w:b/>
          <w:bCs/>
          <w:sz w:val="28"/>
        </w:rPr>
        <w:t>Avaliação da homogeneidade e conformidade de dose em planejamentos de IMRT de próstata em radioterapia</w:t>
      </w:r>
    </w:p>
    <w:p w:rsidR="005D5C73" w:rsidRPr="006A5A5B" w:rsidRDefault="006A5A5B" w:rsidP="005D5C73">
      <w:pPr>
        <w:jc w:val="right"/>
        <w:rPr>
          <w:rFonts w:ascii="Arial" w:hAnsi="Arial" w:cs="Arial"/>
          <w:bCs/>
          <w:sz w:val="28"/>
          <w:lang w:val="en-US"/>
        </w:rPr>
      </w:pPr>
      <w:r w:rsidRPr="006A5A5B">
        <w:rPr>
          <w:rFonts w:ascii="Arial" w:hAnsi="Arial" w:cs="Arial"/>
          <w:bCs/>
          <w:sz w:val="28"/>
          <w:lang w:val="en-US"/>
        </w:rPr>
        <w:t>Evaluation of homogeneity and dose conformity in IMRT planning in prostate radiotherapy</w:t>
      </w:r>
    </w:p>
    <w:p w:rsidR="00221E85" w:rsidRPr="006A5A5B" w:rsidRDefault="00221E85" w:rsidP="00026375">
      <w:pPr>
        <w:jc w:val="right"/>
        <w:rPr>
          <w:rFonts w:ascii="Arial" w:hAnsi="Arial" w:cs="Arial"/>
          <w:sz w:val="20"/>
          <w:lang w:val="en-US"/>
        </w:rPr>
      </w:pPr>
    </w:p>
    <w:p w:rsidR="00221E85" w:rsidRPr="00DB00C2" w:rsidRDefault="006A5A5B" w:rsidP="00026375">
      <w:pPr>
        <w:jc w:val="right"/>
        <w:rPr>
          <w:rFonts w:ascii="Arial" w:hAnsi="Arial" w:cs="Arial"/>
          <w:sz w:val="20"/>
        </w:rPr>
      </w:pPr>
      <w:proofErr w:type="spellStart"/>
      <w:r w:rsidRPr="006A5A5B">
        <w:rPr>
          <w:rFonts w:ascii="Arial" w:hAnsi="Arial" w:cs="Arial"/>
        </w:rPr>
        <w:t>Juliane</w:t>
      </w:r>
      <w:proofErr w:type="spellEnd"/>
      <w:r w:rsidRPr="006A5A5B">
        <w:rPr>
          <w:rFonts w:ascii="Arial" w:hAnsi="Arial" w:cs="Arial"/>
        </w:rPr>
        <w:t xml:space="preserve"> S. Lopes¹, Matheus Leidens¹, Ricardo A. Z. Razera², Daniela R. Estácio¹, Elaine E. Streck², Ana M. M. da Silva²</w:t>
      </w:r>
    </w:p>
    <w:p w:rsidR="006A5A5B" w:rsidRPr="006A5A5B" w:rsidRDefault="006A5A5B" w:rsidP="00026375">
      <w:pPr>
        <w:jc w:val="right"/>
        <w:rPr>
          <w:rFonts w:ascii="Arial" w:hAnsi="Arial" w:cs="Arial"/>
          <w:i/>
          <w:iCs/>
          <w:sz w:val="20"/>
        </w:rPr>
      </w:pPr>
      <w:proofErr w:type="gramStart"/>
      <w:r w:rsidRPr="006A5A5B">
        <w:rPr>
          <w:rFonts w:ascii="Arial" w:hAnsi="Arial" w:cs="Arial"/>
          <w:i/>
          <w:iCs/>
          <w:sz w:val="20"/>
          <w:vertAlign w:val="superscript"/>
        </w:rPr>
        <w:t>1</w:t>
      </w:r>
      <w:r w:rsidRPr="006A5A5B">
        <w:rPr>
          <w:rFonts w:ascii="Arial" w:hAnsi="Arial" w:cs="Arial"/>
          <w:i/>
          <w:iCs/>
          <w:sz w:val="20"/>
        </w:rPr>
        <w:t>Serviço</w:t>
      </w:r>
      <w:proofErr w:type="gramEnd"/>
      <w:r w:rsidRPr="006A5A5B">
        <w:rPr>
          <w:rFonts w:ascii="Arial" w:hAnsi="Arial" w:cs="Arial"/>
          <w:i/>
          <w:iCs/>
          <w:sz w:val="20"/>
        </w:rPr>
        <w:t xml:space="preserve"> de Radioterapia, Hospital São Lucas, PUCRS, Porto Alegre, Brasil </w:t>
      </w:r>
    </w:p>
    <w:p w:rsidR="00DB00C2" w:rsidRPr="006A5A5B" w:rsidRDefault="006A5A5B" w:rsidP="00026375">
      <w:pPr>
        <w:jc w:val="right"/>
        <w:rPr>
          <w:rFonts w:ascii="Arial" w:hAnsi="Arial" w:cs="Arial"/>
          <w:sz w:val="20"/>
        </w:rPr>
      </w:pPr>
      <w:proofErr w:type="gramStart"/>
      <w:r w:rsidRPr="006A5A5B">
        <w:rPr>
          <w:rFonts w:ascii="Arial" w:hAnsi="Arial" w:cs="Arial"/>
          <w:i/>
          <w:iCs/>
          <w:sz w:val="20"/>
          <w:vertAlign w:val="superscript"/>
        </w:rPr>
        <w:t>2</w:t>
      </w:r>
      <w:r w:rsidRPr="006A5A5B">
        <w:rPr>
          <w:rFonts w:ascii="Arial" w:hAnsi="Arial" w:cs="Arial"/>
          <w:i/>
          <w:iCs/>
          <w:sz w:val="20"/>
        </w:rPr>
        <w:t>Faculdade</w:t>
      </w:r>
      <w:proofErr w:type="gramEnd"/>
      <w:r w:rsidRPr="006A5A5B">
        <w:rPr>
          <w:rFonts w:ascii="Arial" w:hAnsi="Arial" w:cs="Arial"/>
          <w:i/>
          <w:iCs/>
          <w:sz w:val="20"/>
        </w:rPr>
        <w:t xml:space="preserve"> de Física, PUCRS, Porto Alegre, Brasil</w:t>
      </w:r>
    </w:p>
    <w:p w:rsidR="00DB00C2" w:rsidRDefault="00DB00C2" w:rsidP="00026375">
      <w:pPr>
        <w:jc w:val="right"/>
        <w:rPr>
          <w:rFonts w:ascii="Arial" w:hAnsi="Arial" w:cs="Arial"/>
          <w:sz w:val="20"/>
        </w:rPr>
      </w:pPr>
      <w:r>
        <w:rPr>
          <w:rFonts w:ascii="Arial" w:hAnsi="Arial" w:cs="Arial"/>
          <w:noProof/>
          <w:sz w:val="20"/>
        </w:rPr>
        <w:pict>
          <v:line id="_x0000_s1027" style="position:absolute;left:0;text-align:left;flip:y;z-index:251658240" from="1.35pt,5.65pt" to="471.9pt,5.65pt" strokecolor="gray"/>
        </w:pict>
      </w:r>
    </w:p>
    <w:p w:rsidR="00A33AE4" w:rsidRDefault="00221E85" w:rsidP="00DB00C2">
      <w:pPr>
        <w:jc w:val="both"/>
        <w:rPr>
          <w:rFonts w:ascii="Arial" w:hAnsi="Arial" w:cs="Arial"/>
          <w:b/>
          <w:bCs/>
          <w:sz w:val="20"/>
        </w:rPr>
      </w:pPr>
      <w:r>
        <w:rPr>
          <w:rFonts w:ascii="Arial" w:hAnsi="Arial" w:cs="Arial"/>
          <w:b/>
          <w:bCs/>
          <w:sz w:val="20"/>
        </w:rPr>
        <w:t>Resumo</w:t>
      </w:r>
    </w:p>
    <w:p w:rsidR="009D6607" w:rsidRDefault="009D6607">
      <w:pPr>
        <w:jc w:val="both"/>
        <w:rPr>
          <w:rFonts w:ascii="Arial" w:hAnsi="Arial" w:cs="Arial"/>
          <w:sz w:val="20"/>
        </w:rPr>
      </w:pPr>
      <w:r w:rsidRPr="009D6607">
        <w:rPr>
          <w:rFonts w:ascii="Arial" w:hAnsi="Arial" w:cs="Arial"/>
          <w:sz w:val="20"/>
        </w:rPr>
        <w:t xml:space="preserve">O objetivo deste trabalho foi avaliar a homogeneidade e a conformidade da distribuição de dose em planejamentos de radioterapia para câncer de próstata utilizando a técnica de IMRT. Este trabalho foi realizado no Hospital São Lucas da PUCRS, avaliando-se dados de 34 planejamentos computadorizados com prescrição de dose variando entre 60 e 74 </w:t>
      </w:r>
      <w:proofErr w:type="spellStart"/>
      <w:r w:rsidRPr="009D6607">
        <w:rPr>
          <w:rFonts w:ascii="Arial" w:hAnsi="Arial" w:cs="Arial"/>
          <w:sz w:val="20"/>
        </w:rPr>
        <w:t>Gy</w:t>
      </w:r>
      <w:proofErr w:type="spellEnd"/>
      <w:r w:rsidRPr="009D6607">
        <w:rPr>
          <w:rFonts w:ascii="Arial" w:hAnsi="Arial" w:cs="Arial"/>
          <w:sz w:val="20"/>
        </w:rPr>
        <w:t xml:space="preserve">. Esses planejamentos foram realizados através do software Eclipse®, utilizando feixe de fótons com energia de </w:t>
      </w:r>
      <w:proofErr w:type="gramStart"/>
      <w:r w:rsidRPr="009D6607">
        <w:rPr>
          <w:rFonts w:ascii="Arial" w:hAnsi="Arial" w:cs="Arial"/>
          <w:sz w:val="20"/>
        </w:rPr>
        <w:t>6</w:t>
      </w:r>
      <w:proofErr w:type="gramEnd"/>
      <w:r w:rsidRPr="009D6607">
        <w:rPr>
          <w:rFonts w:ascii="Arial" w:hAnsi="Arial" w:cs="Arial"/>
          <w:sz w:val="20"/>
        </w:rPr>
        <w:t xml:space="preserve"> MV para tratamento no acelerador linear CLINAC IX da </w:t>
      </w:r>
      <w:proofErr w:type="spellStart"/>
      <w:r w:rsidRPr="009D6607">
        <w:rPr>
          <w:rFonts w:ascii="Arial" w:hAnsi="Arial" w:cs="Arial"/>
          <w:sz w:val="20"/>
        </w:rPr>
        <w:t>Varian</w:t>
      </w:r>
      <w:proofErr w:type="spellEnd"/>
      <w:r w:rsidRPr="009D6607">
        <w:rPr>
          <w:rFonts w:ascii="Arial" w:hAnsi="Arial" w:cs="Arial"/>
          <w:sz w:val="20"/>
        </w:rPr>
        <w:t>®. A análise dos índices foi realizada anteriormente ao início do tratamento dos pacientes, com uso de dados disponibilizados pelo software. Os resultados obtidos mostraram que não existe correlação entre a dose prescrita e os índices de homogeneidade e conformidade. Quando comparados qualitativamente com as recomendações da ICRU 83, verificou-se que a técnica de IMRT apresenta, em geral, uma conformação e homogeneidade adequadas. Por fim, constatou-se que os referidos índices estavam relativamente próximos dos valores ideais. Para o índice de conformidade, 82,3% dos casos apresentaram uma diferença menor que 5% do valor ideal; para o índice de homogeneidade, 88,2% apresentaram diferença menor do que 10% do valor ideal. Concluindo, pode-se confirmar a qualidade dos planejamentos de radioterapia para câncer de próstata utilizando a técnica de IMRT analisados.</w:t>
      </w:r>
    </w:p>
    <w:p w:rsidR="00221E85" w:rsidRDefault="00221E85">
      <w:pPr>
        <w:jc w:val="both"/>
        <w:rPr>
          <w:rFonts w:ascii="Arial" w:hAnsi="Arial" w:cs="Arial"/>
          <w:sz w:val="20"/>
        </w:rPr>
      </w:pPr>
      <w:r>
        <w:rPr>
          <w:rFonts w:ascii="Arial" w:hAnsi="Arial" w:cs="Arial"/>
          <w:b/>
          <w:sz w:val="20"/>
        </w:rPr>
        <w:t>Palavras-chave</w:t>
      </w:r>
      <w:r>
        <w:rPr>
          <w:rFonts w:ascii="Arial" w:hAnsi="Arial" w:cs="Arial"/>
          <w:sz w:val="20"/>
        </w:rPr>
        <w:t xml:space="preserve">: </w:t>
      </w:r>
      <w:r w:rsidR="009D6607" w:rsidRPr="009D6607">
        <w:rPr>
          <w:rFonts w:ascii="Arial" w:hAnsi="Arial" w:cs="Arial"/>
          <w:sz w:val="20"/>
        </w:rPr>
        <w:t>radioterapia; IMRT; câncer de próstata; índice de conformidade; índice de homogeneidade.</w:t>
      </w:r>
    </w:p>
    <w:p w:rsidR="00221E85" w:rsidRDefault="00221E85">
      <w:pPr>
        <w:jc w:val="both"/>
        <w:rPr>
          <w:rFonts w:ascii="Arial" w:hAnsi="Arial" w:cs="Arial"/>
          <w:sz w:val="20"/>
        </w:rPr>
      </w:pPr>
    </w:p>
    <w:p w:rsidR="00A33AE4" w:rsidRPr="006A5A5B" w:rsidRDefault="00221E85">
      <w:pPr>
        <w:jc w:val="both"/>
        <w:rPr>
          <w:rFonts w:ascii="Arial" w:hAnsi="Arial" w:cs="Arial"/>
          <w:b/>
          <w:bCs/>
          <w:i/>
          <w:iCs/>
          <w:sz w:val="20"/>
          <w:lang w:val="en-US"/>
        </w:rPr>
      </w:pPr>
      <w:r w:rsidRPr="006A5A5B">
        <w:rPr>
          <w:rFonts w:ascii="Arial" w:hAnsi="Arial" w:cs="Arial"/>
          <w:b/>
          <w:bCs/>
          <w:i/>
          <w:iCs/>
          <w:sz w:val="20"/>
          <w:lang w:val="en-US"/>
        </w:rPr>
        <w:t>Abstract</w:t>
      </w:r>
    </w:p>
    <w:p w:rsidR="009D6607" w:rsidRDefault="009D6607">
      <w:pPr>
        <w:jc w:val="both"/>
        <w:rPr>
          <w:rFonts w:ascii="Arial" w:hAnsi="Arial" w:cs="Arial"/>
          <w:i/>
          <w:iCs/>
          <w:sz w:val="20"/>
          <w:lang w:val="en-US"/>
        </w:rPr>
      </w:pPr>
      <w:r w:rsidRPr="009D6607">
        <w:rPr>
          <w:rFonts w:ascii="Arial" w:hAnsi="Arial" w:cs="Arial"/>
          <w:i/>
          <w:iCs/>
          <w:sz w:val="20"/>
          <w:lang w:val="en-US"/>
        </w:rPr>
        <w:t xml:space="preserve">The goal of this study was to evaluate the dose distribution homogeneity and conformity of radiation therapy plans of prostate cancer using IMRT. Data from 34 treatment plans of Hospital São Lucas of PUCRS, where those plans were executed, were retrospectively analyzed. All of them were done with 6MV X-rays from a linear accelerator CLINAC IX, and the prescription doses varied between 60 and 74 </w:t>
      </w:r>
      <w:proofErr w:type="spellStart"/>
      <w:r w:rsidRPr="009D6607">
        <w:rPr>
          <w:rFonts w:ascii="Arial" w:hAnsi="Arial" w:cs="Arial"/>
          <w:i/>
          <w:iCs/>
          <w:sz w:val="20"/>
          <w:lang w:val="en-US"/>
        </w:rPr>
        <w:t>Gy</w:t>
      </w:r>
      <w:proofErr w:type="spellEnd"/>
      <w:r w:rsidRPr="009D6607">
        <w:rPr>
          <w:rFonts w:ascii="Arial" w:hAnsi="Arial" w:cs="Arial"/>
          <w:i/>
          <w:iCs/>
          <w:sz w:val="20"/>
          <w:lang w:val="en-US"/>
        </w:rPr>
        <w:t xml:space="preserve">. Analyses showing the homogeneity and conformity indices for the dose distribution of those plans were made. During these analyses, some comparisons with the traditional radiation therapy planning </w:t>
      </w:r>
      <w:proofErr w:type="spellStart"/>
      <w:r w:rsidRPr="009D6607">
        <w:rPr>
          <w:rFonts w:ascii="Arial" w:hAnsi="Arial" w:cs="Arial"/>
          <w:i/>
          <w:iCs/>
          <w:sz w:val="20"/>
          <w:lang w:val="en-US"/>
        </w:rPr>
        <w:t>technic</w:t>
      </w:r>
      <w:proofErr w:type="spellEnd"/>
      <w:r w:rsidRPr="009D6607">
        <w:rPr>
          <w:rFonts w:ascii="Arial" w:hAnsi="Arial" w:cs="Arial"/>
          <w:i/>
          <w:iCs/>
          <w:sz w:val="20"/>
          <w:lang w:val="en-US"/>
        </w:rPr>
        <w:t>, the 3D-CRT, were discussed. The results showed that there is no correlation between the prescribed dose and the homogeneity and conformity indices, indicating that IMRT works very well even for higher doses. Furthermore, a comparison between the results obtained and the recommendations of ICRU 83 was carried out. It has also been observed that the indices were really close to the ideal values. 82.4% of the cases showed a difference below 5% of the ideal value for the index of conformity, and 88.2% showed a difference below 10% for the homogeneity index. Concluding, it is possible to confirm the quality of the analyzed radiation therapy plans of prostate cancer using IMRT.</w:t>
      </w:r>
    </w:p>
    <w:p w:rsidR="00221E85" w:rsidRDefault="00221E85">
      <w:pPr>
        <w:jc w:val="both"/>
        <w:rPr>
          <w:rFonts w:ascii="Arial" w:hAnsi="Arial" w:cs="Arial"/>
          <w:i/>
          <w:iCs/>
          <w:sz w:val="20"/>
          <w:lang w:val="en-US"/>
        </w:rPr>
      </w:pPr>
      <w:r w:rsidRPr="00A33AE4">
        <w:rPr>
          <w:rFonts w:ascii="Arial" w:hAnsi="Arial" w:cs="Arial"/>
          <w:b/>
          <w:iCs/>
          <w:sz w:val="20"/>
          <w:lang w:val="en-US"/>
        </w:rPr>
        <w:t>Keywords</w:t>
      </w:r>
      <w:r w:rsidRPr="00A33AE4">
        <w:rPr>
          <w:rFonts w:ascii="Arial" w:hAnsi="Arial" w:cs="Arial"/>
          <w:i/>
          <w:iCs/>
          <w:sz w:val="20"/>
          <w:lang w:val="en-US"/>
        </w:rPr>
        <w:t>:</w:t>
      </w:r>
      <w:r>
        <w:rPr>
          <w:rFonts w:ascii="Arial" w:hAnsi="Arial" w:cs="Arial"/>
          <w:i/>
          <w:iCs/>
          <w:sz w:val="20"/>
          <w:lang w:val="en-US"/>
        </w:rPr>
        <w:t xml:space="preserve"> </w:t>
      </w:r>
      <w:r w:rsidR="009D6607" w:rsidRPr="009D6607">
        <w:rPr>
          <w:rFonts w:ascii="Arial" w:hAnsi="Arial" w:cs="Arial"/>
          <w:i/>
          <w:iCs/>
          <w:sz w:val="20"/>
          <w:lang w:val="en-US"/>
        </w:rPr>
        <w:t>radiation therapy, IMRT, prostate cancer, conformity index, homogeneity index.</w:t>
      </w:r>
    </w:p>
    <w:p w:rsidR="00221E85" w:rsidRDefault="00221E85">
      <w:pPr>
        <w:rPr>
          <w:rFonts w:ascii="Arial" w:hAnsi="Arial" w:cs="Arial"/>
          <w:sz w:val="20"/>
          <w:lang w:val="en-US"/>
        </w:rPr>
      </w:pPr>
    </w:p>
    <w:p w:rsidR="00221E85" w:rsidRDefault="00DB00C2">
      <w:pPr>
        <w:rPr>
          <w:rFonts w:ascii="Arial" w:hAnsi="Arial" w:cs="Arial"/>
          <w:sz w:val="20"/>
          <w:lang w:val="en-US"/>
        </w:rPr>
      </w:pPr>
      <w:r>
        <w:rPr>
          <w:rFonts w:ascii="Arial" w:hAnsi="Arial" w:cs="Arial"/>
          <w:noProof/>
          <w:sz w:val="20"/>
        </w:rPr>
        <w:pict>
          <v:line id="_x0000_s1026" style="position:absolute;flip:y;z-index:251657216" from="0,.85pt" to="470.55pt,.85pt" strokecolor="gray"/>
        </w:pict>
      </w:r>
    </w:p>
    <w:p w:rsidR="00221E85" w:rsidRDefault="00221E85">
      <w:pPr>
        <w:rPr>
          <w:rFonts w:ascii="Arial" w:hAnsi="Arial" w:cs="Arial"/>
          <w:sz w:val="20"/>
          <w:lang w:val="en-US"/>
        </w:rPr>
        <w:sectPr w:rsidR="00221E85" w:rsidSect="00550001">
          <w:headerReference w:type="default" r:id="rId7"/>
          <w:footerReference w:type="even" r:id="rId8"/>
          <w:footerReference w:type="default" r:id="rId9"/>
          <w:pgSz w:w="11907" w:h="16840" w:code="9"/>
          <w:pgMar w:top="1418" w:right="1021" w:bottom="1021" w:left="1418" w:header="624" w:footer="624" w:gutter="0"/>
          <w:cols w:space="708"/>
          <w:docGrid w:linePitch="360"/>
        </w:sectPr>
      </w:pPr>
    </w:p>
    <w:p w:rsidR="00221E85" w:rsidRDefault="00221E85" w:rsidP="005F3B4A">
      <w:pPr>
        <w:jc w:val="both"/>
        <w:rPr>
          <w:rFonts w:ascii="Arial" w:hAnsi="Arial" w:cs="Arial"/>
          <w:b/>
          <w:bCs/>
          <w:sz w:val="20"/>
        </w:rPr>
      </w:pPr>
      <w:r>
        <w:rPr>
          <w:rFonts w:ascii="Arial" w:hAnsi="Arial" w:cs="Arial"/>
          <w:b/>
          <w:bCs/>
          <w:sz w:val="20"/>
        </w:rPr>
        <w:lastRenderedPageBreak/>
        <w:t>1. Introdução</w:t>
      </w:r>
    </w:p>
    <w:p w:rsidR="009D6607" w:rsidRPr="009D6607" w:rsidRDefault="009D6607" w:rsidP="009D6607">
      <w:pPr>
        <w:ind w:firstLine="187"/>
        <w:jc w:val="both"/>
        <w:rPr>
          <w:rFonts w:ascii="Arial" w:hAnsi="Arial" w:cs="Arial"/>
          <w:sz w:val="20"/>
        </w:rPr>
      </w:pPr>
      <w:r w:rsidRPr="009D6607">
        <w:rPr>
          <w:rFonts w:ascii="Arial" w:hAnsi="Arial" w:cs="Arial"/>
          <w:sz w:val="20"/>
        </w:rPr>
        <w:t>Em radioterapia, tem-se como objetivo o tratamento de tumores com radiação ionizante. Para causar dano apenas no tumor e preservar os tecidos sadios próximos, deve-se realizar planejamentos que conformem ao máximo a distribuição de dose no volume alvo, além de objetivar uma distribuição tão homogênea quanto possível, no intuito de garantir que todo o tumor receberá a dose necessária para o seu controle.</w:t>
      </w:r>
    </w:p>
    <w:p w:rsidR="009D6607" w:rsidRPr="009D6607" w:rsidRDefault="009D6607" w:rsidP="009D6607">
      <w:pPr>
        <w:ind w:firstLine="187"/>
        <w:jc w:val="both"/>
        <w:rPr>
          <w:rFonts w:ascii="Arial" w:hAnsi="Arial" w:cs="Arial"/>
          <w:sz w:val="20"/>
        </w:rPr>
      </w:pPr>
      <w:r w:rsidRPr="009D6607">
        <w:rPr>
          <w:rFonts w:ascii="Arial" w:hAnsi="Arial" w:cs="Arial"/>
          <w:sz w:val="20"/>
        </w:rPr>
        <w:t xml:space="preserve">A radioterapia de feixe externo tem como objetivo melhorar o índice terapêutico através da maximização da razão entre a probabilidade de controle do tumor e o não comprometimento de </w:t>
      </w:r>
      <w:r w:rsidRPr="009D6607">
        <w:rPr>
          <w:rFonts w:ascii="Arial" w:hAnsi="Arial" w:cs="Arial"/>
          <w:sz w:val="20"/>
        </w:rPr>
        <w:lastRenderedPageBreak/>
        <w:t xml:space="preserve">tecidos sadios. Com o advento de radioterapia de alta precisão, o planejamento de radioterapia </w:t>
      </w:r>
      <w:proofErr w:type="spellStart"/>
      <w:r w:rsidRPr="009D6607">
        <w:rPr>
          <w:rFonts w:ascii="Arial" w:hAnsi="Arial" w:cs="Arial"/>
          <w:sz w:val="20"/>
        </w:rPr>
        <w:t>conformal</w:t>
      </w:r>
      <w:proofErr w:type="spellEnd"/>
      <w:r w:rsidRPr="009D6607">
        <w:rPr>
          <w:rFonts w:ascii="Arial" w:hAnsi="Arial" w:cs="Arial"/>
          <w:sz w:val="20"/>
        </w:rPr>
        <w:t xml:space="preserve"> (3D-CRT, do inglês </w:t>
      </w:r>
      <w:r w:rsidRPr="009D6607">
        <w:rPr>
          <w:rFonts w:ascii="Arial" w:hAnsi="Arial" w:cs="Arial"/>
          <w:i/>
          <w:sz w:val="20"/>
        </w:rPr>
        <w:t xml:space="preserve">3D </w:t>
      </w:r>
      <w:proofErr w:type="spellStart"/>
      <w:r w:rsidRPr="009D6607">
        <w:rPr>
          <w:rFonts w:ascii="Arial" w:hAnsi="Arial" w:cs="Arial"/>
          <w:i/>
          <w:sz w:val="20"/>
        </w:rPr>
        <w:t>Conformal</w:t>
      </w:r>
      <w:proofErr w:type="spellEnd"/>
      <w:r w:rsidRPr="009D6607">
        <w:rPr>
          <w:rFonts w:ascii="Arial" w:hAnsi="Arial" w:cs="Arial"/>
          <w:i/>
          <w:sz w:val="20"/>
        </w:rPr>
        <w:t xml:space="preserve"> </w:t>
      </w:r>
      <w:proofErr w:type="spellStart"/>
      <w:r w:rsidRPr="009D6607">
        <w:rPr>
          <w:rFonts w:ascii="Arial" w:hAnsi="Arial" w:cs="Arial"/>
          <w:i/>
          <w:sz w:val="20"/>
        </w:rPr>
        <w:t>Radiation</w:t>
      </w:r>
      <w:proofErr w:type="spellEnd"/>
      <w:r w:rsidRPr="009D6607">
        <w:rPr>
          <w:rFonts w:ascii="Arial" w:hAnsi="Arial" w:cs="Arial"/>
          <w:i/>
          <w:sz w:val="20"/>
        </w:rPr>
        <w:t xml:space="preserve"> </w:t>
      </w:r>
      <w:proofErr w:type="spellStart"/>
      <w:r w:rsidRPr="009D6607">
        <w:rPr>
          <w:rFonts w:ascii="Arial" w:hAnsi="Arial" w:cs="Arial"/>
          <w:i/>
          <w:sz w:val="20"/>
        </w:rPr>
        <w:t>Therapy</w:t>
      </w:r>
      <w:proofErr w:type="spellEnd"/>
      <w:r w:rsidRPr="009D6607">
        <w:rPr>
          <w:rFonts w:ascii="Arial" w:hAnsi="Arial" w:cs="Arial"/>
          <w:sz w:val="20"/>
        </w:rPr>
        <w:t xml:space="preserve">) vem sendo substituído por planejamento de IMRT, no qual é exequível a minimização da dose em tecidos saudáveis e redução na margem dada ao CTV (do inglês, </w:t>
      </w:r>
      <w:proofErr w:type="spellStart"/>
      <w:r w:rsidRPr="009D6607">
        <w:rPr>
          <w:rFonts w:ascii="Arial" w:hAnsi="Arial" w:cs="Arial"/>
          <w:i/>
          <w:sz w:val="20"/>
        </w:rPr>
        <w:t>Clinical</w:t>
      </w:r>
      <w:proofErr w:type="spellEnd"/>
      <w:r w:rsidRPr="009D6607">
        <w:rPr>
          <w:rFonts w:ascii="Arial" w:hAnsi="Arial" w:cs="Arial"/>
          <w:i/>
          <w:sz w:val="20"/>
        </w:rPr>
        <w:t xml:space="preserve"> </w:t>
      </w:r>
      <w:proofErr w:type="spellStart"/>
      <w:r w:rsidRPr="009D6607">
        <w:rPr>
          <w:rFonts w:ascii="Arial" w:hAnsi="Arial" w:cs="Arial"/>
          <w:i/>
          <w:sz w:val="20"/>
        </w:rPr>
        <w:t>Treatment</w:t>
      </w:r>
      <w:proofErr w:type="spellEnd"/>
      <w:r w:rsidRPr="009D6607">
        <w:rPr>
          <w:rFonts w:ascii="Arial" w:hAnsi="Arial" w:cs="Arial"/>
          <w:i/>
          <w:sz w:val="20"/>
        </w:rPr>
        <w:t xml:space="preserve"> Volume</w:t>
      </w:r>
      <w:r w:rsidRPr="009D6607">
        <w:rPr>
          <w:rFonts w:ascii="Arial" w:hAnsi="Arial" w:cs="Arial"/>
          <w:sz w:val="20"/>
        </w:rPr>
        <w:t>). Atualmente, o uso de colimadores multilâminas vem substituindo o uso de blocos de proteção para tecidos sadios, simplificando a conformação do feixe ao formato do volume de tratamento planejado¹.</w:t>
      </w:r>
    </w:p>
    <w:p w:rsidR="009D6607" w:rsidRPr="009D6607" w:rsidRDefault="009D6607" w:rsidP="009D6607">
      <w:pPr>
        <w:ind w:firstLine="187"/>
        <w:jc w:val="both"/>
        <w:rPr>
          <w:rFonts w:ascii="Arial" w:hAnsi="Arial" w:cs="Arial"/>
          <w:sz w:val="20"/>
        </w:rPr>
      </w:pPr>
      <w:r w:rsidRPr="009D6607">
        <w:rPr>
          <w:rFonts w:ascii="Arial" w:hAnsi="Arial" w:cs="Arial"/>
          <w:sz w:val="20"/>
        </w:rPr>
        <w:t>Quando se utiliza a técnica de IMRT no modo dinâmico (</w:t>
      </w:r>
      <w:proofErr w:type="spellStart"/>
      <w:r w:rsidRPr="009D6607">
        <w:rPr>
          <w:rFonts w:ascii="Arial" w:hAnsi="Arial" w:cs="Arial"/>
          <w:i/>
          <w:sz w:val="20"/>
        </w:rPr>
        <w:t>sliding</w:t>
      </w:r>
      <w:proofErr w:type="spellEnd"/>
      <w:r w:rsidRPr="009D6607">
        <w:rPr>
          <w:rFonts w:ascii="Arial" w:hAnsi="Arial" w:cs="Arial"/>
          <w:i/>
          <w:sz w:val="20"/>
        </w:rPr>
        <w:t xml:space="preserve"> </w:t>
      </w:r>
      <w:proofErr w:type="spellStart"/>
      <w:r w:rsidRPr="009D6607">
        <w:rPr>
          <w:rFonts w:ascii="Arial" w:hAnsi="Arial" w:cs="Arial"/>
          <w:i/>
          <w:sz w:val="20"/>
        </w:rPr>
        <w:t>window</w:t>
      </w:r>
      <w:proofErr w:type="spellEnd"/>
      <w:r w:rsidRPr="009D6607">
        <w:rPr>
          <w:rFonts w:ascii="Arial" w:hAnsi="Arial" w:cs="Arial"/>
          <w:sz w:val="20"/>
        </w:rPr>
        <w:t>), os colimadores se</w:t>
      </w:r>
      <w:r w:rsidRPr="009D6607">
        <w:rPr>
          <w:rFonts w:ascii="Arial" w:hAnsi="Arial" w:cs="Arial"/>
          <w:sz w:val="20"/>
          <w:szCs w:val="20"/>
        </w:rPr>
        <w:t xml:space="preserve"> </w:t>
      </w:r>
      <w:r w:rsidRPr="009D6607">
        <w:rPr>
          <w:rFonts w:ascii="Arial" w:hAnsi="Arial" w:cs="Arial"/>
          <w:sz w:val="20"/>
        </w:rPr>
        <w:lastRenderedPageBreak/>
        <w:t>movimentam durante a irradiação, com velocidades diferentes em cada ponto do campo de tratamento. No modo estático (</w:t>
      </w:r>
      <w:proofErr w:type="spellStart"/>
      <w:r w:rsidRPr="009D6607">
        <w:rPr>
          <w:rFonts w:ascii="Arial" w:hAnsi="Arial" w:cs="Arial"/>
          <w:i/>
          <w:sz w:val="20"/>
        </w:rPr>
        <w:t>step-and-shoot</w:t>
      </w:r>
      <w:proofErr w:type="spellEnd"/>
      <w:r w:rsidRPr="009D6607">
        <w:rPr>
          <w:rFonts w:ascii="Arial" w:hAnsi="Arial" w:cs="Arial"/>
          <w:sz w:val="20"/>
        </w:rPr>
        <w:t>), realiza-se uma sequência de passos tal que, em cada passo, o formato de campo muda ligeiramente e se executa uma irradiação. Assim, é possível conformar a distribuição de dose no tumor de forma muito mais precisa do que com radioterapia convencional, poupando os tecidos sadios mais eficientemente.</w:t>
      </w:r>
    </w:p>
    <w:p w:rsidR="009D6607" w:rsidRPr="009D6607" w:rsidRDefault="009D6607" w:rsidP="009D6607">
      <w:pPr>
        <w:ind w:firstLine="187"/>
        <w:jc w:val="both"/>
        <w:rPr>
          <w:rFonts w:ascii="Arial" w:hAnsi="Arial" w:cs="Arial"/>
          <w:sz w:val="20"/>
        </w:rPr>
      </w:pPr>
      <w:r w:rsidRPr="009D6607">
        <w:rPr>
          <w:rFonts w:ascii="Arial" w:hAnsi="Arial" w:cs="Arial"/>
          <w:sz w:val="20"/>
        </w:rPr>
        <w:t xml:space="preserve">O câncer de próstata é o mais comum entre os tipos de neoplasias de homens¹. Com o desenvolvimento da 3D-CRT, foi </w:t>
      </w:r>
      <w:proofErr w:type="gramStart"/>
      <w:r w:rsidRPr="009D6607">
        <w:rPr>
          <w:rFonts w:ascii="Arial" w:hAnsi="Arial" w:cs="Arial"/>
          <w:sz w:val="20"/>
        </w:rPr>
        <w:t>observado</w:t>
      </w:r>
      <w:proofErr w:type="gramEnd"/>
      <w:r w:rsidRPr="009D6607">
        <w:rPr>
          <w:rFonts w:ascii="Arial" w:hAnsi="Arial" w:cs="Arial"/>
          <w:sz w:val="20"/>
        </w:rPr>
        <w:t xml:space="preserve"> substancial avanço no tratamento deste tipo de câncer. Foi possível escalonar a dose de radiação na próstata, e os estudos clínicos mostraram um controle local e bioquímico aprimorado para doses acima de 70 </w:t>
      </w:r>
      <w:proofErr w:type="spellStart"/>
      <w:r w:rsidRPr="009D6607">
        <w:rPr>
          <w:rFonts w:ascii="Arial" w:hAnsi="Arial" w:cs="Arial"/>
          <w:sz w:val="20"/>
        </w:rPr>
        <w:t>Gy</w:t>
      </w:r>
      <w:proofErr w:type="spellEnd"/>
      <w:r w:rsidRPr="009D6607">
        <w:rPr>
          <w:rFonts w:ascii="Arial" w:hAnsi="Arial" w:cs="Arial"/>
          <w:sz w:val="20"/>
        </w:rPr>
        <w:t xml:space="preserve">. Como, a princípio, a IMRT pode apresentar uma distribuição de dose ainda mais aprimorada em termos de homogeneidade e </w:t>
      </w:r>
      <w:proofErr w:type="gramStart"/>
      <w:r w:rsidRPr="009D6607">
        <w:rPr>
          <w:rFonts w:ascii="Arial" w:hAnsi="Arial" w:cs="Arial"/>
          <w:sz w:val="20"/>
        </w:rPr>
        <w:t>conformidade</w:t>
      </w:r>
      <w:r w:rsidRPr="009D6607">
        <w:rPr>
          <w:rFonts w:ascii="Arial" w:hAnsi="Arial" w:cs="Arial"/>
          <w:sz w:val="20"/>
          <w:vertAlign w:val="superscript"/>
        </w:rPr>
        <w:t>3,</w:t>
      </w:r>
      <w:proofErr w:type="gramEnd"/>
      <w:r w:rsidRPr="009D6607">
        <w:rPr>
          <w:rFonts w:ascii="Arial" w:hAnsi="Arial" w:cs="Arial"/>
          <w:sz w:val="20"/>
          <w:vertAlign w:val="superscript"/>
        </w:rPr>
        <w:t>4,6</w:t>
      </w:r>
      <w:r w:rsidRPr="009D6607">
        <w:rPr>
          <w:rFonts w:ascii="Arial" w:hAnsi="Arial" w:cs="Arial"/>
          <w:sz w:val="20"/>
        </w:rPr>
        <w:t>, torna-se interessante o seu uso para estes tratamentos.</w:t>
      </w:r>
    </w:p>
    <w:p w:rsidR="009D6607" w:rsidRPr="009D6607" w:rsidRDefault="009D6607" w:rsidP="009D6607">
      <w:pPr>
        <w:pStyle w:val="Default"/>
        <w:ind w:firstLine="187"/>
        <w:contextualSpacing/>
        <w:jc w:val="both"/>
        <w:rPr>
          <w:color w:val="auto"/>
          <w:sz w:val="20"/>
        </w:rPr>
      </w:pPr>
      <w:r w:rsidRPr="009D6607">
        <w:rPr>
          <w:color w:val="auto"/>
          <w:sz w:val="20"/>
        </w:rPr>
        <w:t xml:space="preserve">O planejamento de um tratamento que utiliza IMRT é bastante diferente do método utilizado em radioterapia convencional. De fato, o cálculo da fluência </w:t>
      </w:r>
      <w:proofErr w:type="gramStart"/>
      <w:r w:rsidRPr="009D6607">
        <w:rPr>
          <w:color w:val="auto"/>
          <w:sz w:val="20"/>
        </w:rPr>
        <w:t>otimizada</w:t>
      </w:r>
      <w:proofErr w:type="gramEnd"/>
      <w:r w:rsidRPr="009D6607">
        <w:rPr>
          <w:color w:val="auto"/>
          <w:sz w:val="20"/>
        </w:rPr>
        <w:t xml:space="preserve"> para cada subcampo se tornou praticável no dia-a-dia clínico apenas com o uso de computadores de alto desempenho, que conseguem executar os algoritmos de otimização em tempo hábil. Estes algoritmos consistem no planejamento do tratamento de forma “inversa”</w:t>
      </w:r>
      <w:proofErr w:type="gramStart"/>
      <w:r w:rsidRPr="009D6607">
        <w:rPr>
          <w:color w:val="auto"/>
          <w:sz w:val="20"/>
        </w:rPr>
        <w:t>6</w:t>
      </w:r>
      <w:proofErr w:type="gramEnd"/>
      <w:r w:rsidRPr="009D6607">
        <w:rPr>
          <w:color w:val="auto"/>
          <w:sz w:val="20"/>
        </w:rPr>
        <w:t xml:space="preserve">: no software, é inserido como dado de entrada a fluência de fótons desejada em cada ponto do campo de tratamento, e o algoritmo realiza o cálculo para encontrar a melhor combinação de campos para o tratamento do paciente dentro dos limites de dose para órgãos de risco (OAR, do inglês </w:t>
      </w:r>
      <w:proofErr w:type="spellStart"/>
      <w:r w:rsidRPr="009D6607">
        <w:rPr>
          <w:i/>
          <w:color w:val="auto"/>
          <w:sz w:val="20"/>
        </w:rPr>
        <w:t>Organs</w:t>
      </w:r>
      <w:proofErr w:type="spellEnd"/>
      <w:r w:rsidRPr="009D6607">
        <w:rPr>
          <w:i/>
          <w:color w:val="auto"/>
          <w:sz w:val="20"/>
        </w:rPr>
        <w:t xml:space="preserve"> </w:t>
      </w:r>
      <w:proofErr w:type="spellStart"/>
      <w:r w:rsidRPr="009D6607">
        <w:rPr>
          <w:i/>
          <w:color w:val="auto"/>
          <w:sz w:val="20"/>
        </w:rPr>
        <w:t>at</w:t>
      </w:r>
      <w:proofErr w:type="spellEnd"/>
      <w:r w:rsidRPr="009D6607">
        <w:rPr>
          <w:i/>
          <w:color w:val="auto"/>
          <w:sz w:val="20"/>
        </w:rPr>
        <w:t xml:space="preserve"> </w:t>
      </w:r>
      <w:proofErr w:type="spellStart"/>
      <w:r w:rsidRPr="009D6607">
        <w:rPr>
          <w:i/>
          <w:color w:val="auto"/>
          <w:sz w:val="20"/>
        </w:rPr>
        <w:t>Risk</w:t>
      </w:r>
      <w:proofErr w:type="spellEnd"/>
      <w:r w:rsidRPr="009D6607">
        <w:rPr>
          <w:color w:val="auto"/>
          <w:sz w:val="20"/>
        </w:rPr>
        <w:t>). Assim, o planejamento obtido consiste em um número maior de campos quando comparado a planejamentos 3D-CRT, podendo, em certos casos, serem divididos em subcampos (no caso de IMRT estático).</w:t>
      </w:r>
    </w:p>
    <w:p w:rsidR="009D6607" w:rsidRPr="009D6607" w:rsidRDefault="009D6607" w:rsidP="009D6607">
      <w:pPr>
        <w:pStyle w:val="Default"/>
        <w:ind w:firstLine="187"/>
        <w:contextualSpacing/>
        <w:jc w:val="both"/>
        <w:rPr>
          <w:color w:val="auto"/>
          <w:sz w:val="20"/>
        </w:rPr>
      </w:pPr>
      <w:r w:rsidRPr="009D6607">
        <w:rPr>
          <w:color w:val="auto"/>
          <w:sz w:val="20"/>
        </w:rPr>
        <w:t>O controle de qualidade de planejamentos de IMRT requer processos adicionais em relação à 3D-CRT. Isto ocorre porque, em IMRT, as distribuições de dose são geralmente mais complexas, podendo apresentar gradientes bastante elevados</w:t>
      </w:r>
      <w:r w:rsidRPr="009D6607">
        <w:rPr>
          <w:color w:val="auto"/>
          <w:sz w:val="20"/>
          <w:vertAlign w:val="superscript"/>
        </w:rPr>
        <w:t>7</w:t>
      </w:r>
      <w:r w:rsidRPr="009D6607">
        <w:rPr>
          <w:color w:val="auto"/>
          <w:sz w:val="20"/>
        </w:rPr>
        <w:t>, e por isso, é importante que erros sejam evitados e minimizados tanto quanto possível. Isto faz com que, em cada tratamento de IMRT, seja necessário um controle de qualidade particular.</w:t>
      </w:r>
    </w:p>
    <w:p w:rsidR="009D6607" w:rsidRPr="009D6607" w:rsidRDefault="009D6607" w:rsidP="009D6607">
      <w:pPr>
        <w:pStyle w:val="Default"/>
        <w:ind w:firstLine="187"/>
        <w:contextualSpacing/>
        <w:jc w:val="both"/>
        <w:rPr>
          <w:color w:val="auto"/>
          <w:sz w:val="20"/>
        </w:rPr>
      </w:pPr>
      <w:r w:rsidRPr="009D6607">
        <w:rPr>
          <w:color w:val="auto"/>
          <w:sz w:val="20"/>
        </w:rPr>
        <w:t>Este controle envolve diversas etapas, como medição da dose em diversos pontos (através do uso de um objeto simulador), conferência da movimentação adequada das lâminas do MLC e análise dos índices que definem a qualidade da distribuição de dose</w:t>
      </w:r>
      <w:r w:rsidRPr="00D74C1C">
        <w:rPr>
          <w:color w:val="auto"/>
          <w:sz w:val="20"/>
          <w:vertAlign w:val="superscript"/>
        </w:rPr>
        <w:t>8</w:t>
      </w:r>
      <w:r w:rsidRPr="009D6607">
        <w:rPr>
          <w:color w:val="auto"/>
          <w:sz w:val="20"/>
        </w:rPr>
        <w:t>. Dentre estes índices, estão o Índice de Homogeneidade (IH) e o Índice de Conformidade (IC), que são utilizados neste trabalho para realizar a análise dos planejamentos.</w:t>
      </w:r>
    </w:p>
    <w:p w:rsidR="009D6607" w:rsidRPr="009D6607" w:rsidRDefault="009D6607" w:rsidP="009D6607">
      <w:pPr>
        <w:pStyle w:val="Default"/>
        <w:ind w:firstLine="187"/>
        <w:contextualSpacing/>
        <w:jc w:val="both"/>
        <w:rPr>
          <w:color w:val="auto"/>
          <w:sz w:val="20"/>
        </w:rPr>
      </w:pPr>
      <w:r w:rsidRPr="009D6607">
        <w:rPr>
          <w:color w:val="auto"/>
          <w:sz w:val="20"/>
        </w:rPr>
        <w:t xml:space="preserve">Por ser uma técnica moderna, o uso de IMRT em diversos contextos deve ser analisado quanto a </w:t>
      </w:r>
      <w:r w:rsidRPr="009D6607">
        <w:rPr>
          <w:color w:val="auto"/>
          <w:sz w:val="20"/>
        </w:rPr>
        <w:lastRenderedPageBreak/>
        <w:t xml:space="preserve">sua eficácia e melhoria nos tratamentos executados. Este trabalho objetiva realizar este tipo de análise para o caso de planejamentos com diferentes prescrições de dose. Além disso, deseja-se estudar a compatibilidade dos planejamentos analisados com as recomendações da ICRU 83 (do inglês, </w:t>
      </w:r>
      <w:proofErr w:type="spellStart"/>
      <w:r w:rsidRPr="00D74C1C">
        <w:rPr>
          <w:i/>
          <w:color w:val="auto"/>
          <w:sz w:val="20"/>
        </w:rPr>
        <w:t>International</w:t>
      </w:r>
      <w:proofErr w:type="spellEnd"/>
      <w:r w:rsidRPr="00D74C1C">
        <w:rPr>
          <w:i/>
          <w:color w:val="auto"/>
          <w:sz w:val="20"/>
        </w:rPr>
        <w:t xml:space="preserve"> </w:t>
      </w:r>
      <w:proofErr w:type="spellStart"/>
      <w:r w:rsidRPr="00D74C1C">
        <w:rPr>
          <w:i/>
          <w:color w:val="auto"/>
          <w:sz w:val="20"/>
        </w:rPr>
        <w:t>Commission</w:t>
      </w:r>
      <w:proofErr w:type="spellEnd"/>
      <w:r w:rsidRPr="00D74C1C">
        <w:rPr>
          <w:i/>
          <w:color w:val="auto"/>
          <w:sz w:val="20"/>
        </w:rPr>
        <w:t xml:space="preserve"> </w:t>
      </w:r>
      <w:proofErr w:type="spellStart"/>
      <w:r w:rsidRPr="00D74C1C">
        <w:rPr>
          <w:i/>
          <w:color w:val="auto"/>
          <w:sz w:val="20"/>
        </w:rPr>
        <w:t>on</w:t>
      </w:r>
      <w:proofErr w:type="spellEnd"/>
      <w:r w:rsidRPr="00D74C1C">
        <w:rPr>
          <w:i/>
          <w:color w:val="auto"/>
          <w:sz w:val="20"/>
        </w:rPr>
        <w:t xml:space="preserve"> </w:t>
      </w:r>
      <w:proofErr w:type="spellStart"/>
      <w:r w:rsidRPr="00D74C1C">
        <w:rPr>
          <w:i/>
          <w:color w:val="auto"/>
          <w:sz w:val="20"/>
        </w:rPr>
        <w:t>Radiation</w:t>
      </w:r>
      <w:proofErr w:type="spellEnd"/>
      <w:r w:rsidRPr="00D74C1C">
        <w:rPr>
          <w:i/>
          <w:color w:val="auto"/>
          <w:sz w:val="20"/>
        </w:rPr>
        <w:t xml:space="preserve"> </w:t>
      </w:r>
      <w:proofErr w:type="spellStart"/>
      <w:r w:rsidRPr="00D74C1C">
        <w:rPr>
          <w:i/>
          <w:color w:val="auto"/>
          <w:sz w:val="20"/>
        </w:rPr>
        <w:t>Units</w:t>
      </w:r>
      <w:proofErr w:type="spellEnd"/>
      <w:r w:rsidRPr="00D74C1C">
        <w:rPr>
          <w:i/>
          <w:color w:val="auto"/>
          <w:sz w:val="20"/>
        </w:rPr>
        <w:t xml:space="preserve"> </w:t>
      </w:r>
      <w:proofErr w:type="spellStart"/>
      <w:r w:rsidRPr="00D74C1C">
        <w:rPr>
          <w:i/>
          <w:color w:val="auto"/>
          <w:sz w:val="20"/>
        </w:rPr>
        <w:t>and</w:t>
      </w:r>
      <w:proofErr w:type="spellEnd"/>
      <w:r w:rsidRPr="00D74C1C">
        <w:rPr>
          <w:i/>
          <w:color w:val="auto"/>
          <w:sz w:val="20"/>
        </w:rPr>
        <w:t xml:space="preserve"> </w:t>
      </w:r>
      <w:proofErr w:type="spellStart"/>
      <w:r w:rsidRPr="00D74C1C">
        <w:rPr>
          <w:i/>
          <w:color w:val="auto"/>
          <w:sz w:val="20"/>
        </w:rPr>
        <w:t>Measurements</w:t>
      </w:r>
      <w:proofErr w:type="spellEnd"/>
      <w:r w:rsidRPr="009D6607">
        <w:rPr>
          <w:color w:val="auto"/>
          <w:sz w:val="20"/>
        </w:rPr>
        <w:t>).</w:t>
      </w:r>
    </w:p>
    <w:p w:rsidR="00221E85" w:rsidRDefault="00221E85" w:rsidP="005F3B4A">
      <w:pPr>
        <w:jc w:val="both"/>
        <w:rPr>
          <w:rFonts w:ascii="Arial" w:hAnsi="Arial" w:cs="Arial"/>
          <w:sz w:val="20"/>
        </w:rPr>
      </w:pPr>
    </w:p>
    <w:p w:rsidR="00221E85" w:rsidRDefault="005F3B4A" w:rsidP="005F3B4A">
      <w:pPr>
        <w:jc w:val="both"/>
        <w:rPr>
          <w:rFonts w:ascii="Arial" w:hAnsi="Arial" w:cs="Arial"/>
          <w:b/>
          <w:bCs/>
          <w:sz w:val="20"/>
        </w:rPr>
      </w:pPr>
      <w:r>
        <w:rPr>
          <w:rFonts w:ascii="Arial" w:hAnsi="Arial" w:cs="Arial"/>
          <w:b/>
          <w:bCs/>
          <w:sz w:val="20"/>
        </w:rPr>
        <w:t>2. Materiais</w:t>
      </w:r>
      <w:r w:rsidR="00221E85">
        <w:rPr>
          <w:rFonts w:ascii="Arial" w:hAnsi="Arial" w:cs="Arial"/>
          <w:b/>
          <w:bCs/>
          <w:sz w:val="20"/>
        </w:rPr>
        <w:t xml:space="preserve"> e </w:t>
      </w:r>
      <w:r w:rsidR="0096653A">
        <w:rPr>
          <w:rFonts w:ascii="Arial" w:hAnsi="Arial" w:cs="Arial"/>
          <w:b/>
          <w:bCs/>
          <w:sz w:val="20"/>
        </w:rPr>
        <w:t>Métodos</w:t>
      </w:r>
    </w:p>
    <w:p w:rsidR="00D74C1C" w:rsidRPr="00E54FD3" w:rsidRDefault="00D74C1C" w:rsidP="00D74C1C">
      <w:pPr>
        <w:ind w:firstLine="187"/>
        <w:jc w:val="both"/>
        <w:rPr>
          <w:rFonts w:ascii="Arial" w:hAnsi="Arial" w:cs="Arial"/>
          <w:snapToGrid w:val="0"/>
          <w:color w:val="000000"/>
          <w:sz w:val="20"/>
          <w:szCs w:val="20"/>
        </w:rPr>
      </w:pPr>
      <w:r w:rsidRPr="00E54FD3">
        <w:rPr>
          <w:rFonts w:ascii="Arial" w:hAnsi="Arial" w:cs="Arial"/>
          <w:snapToGrid w:val="0"/>
          <w:color w:val="000000"/>
          <w:sz w:val="20"/>
          <w:szCs w:val="20"/>
        </w:rPr>
        <w:t xml:space="preserve">Foram avaliados dados correspondentes a 34 tratamentos de câncer de próstata, cujos planejamentos foram feitos com o software </w:t>
      </w:r>
      <w:r w:rsidRPr="00E54FD3">
        <w:rPr>
          <w:rFonts w:ascii="Arial" w:hAnsi="Arial" w:cs="Arial"/>
          <w:i/>
          <w:snapToGrid w:val="0"/>
          <w:color w:val="000000"/>
          <w:sz w:val="20"/>
          <w:szCs w:val="20"/>
        </w:rPr>
        <w:t>Eclipse</w:t>
      </w:r>
      <w:r w:rsidRPr="00E54FD3">
        <w:rPr>
          <w:rFonts w:ascii="Arial" w:hAnsi="Arial" w:cs="Arial"/>
          <w:snapToGrid w:val="0"/>
          <w:color w:val="000000"/>
          <w:sz w:val="20"/>
          <w:szCs w:val="20"/>
        </w:rPr>
        <w:t>® (</w:t>
      </w:r>
      <w:proofErr w:type="spellStart"/>
      <w:r w:rsidRPr="00E54FD3">
        <w:rPr>
          <w:rFonts w:ascii="Arial" w:hAnsi="Arial" w:cs="Arial"/>
          <w:i/>
          <w:snapToGrid w:val="0"/>
          <w:color w:val="000000"/>
          <w:sz w:val="20"/>
          <w:szCs w:val="20"/>
        </w:rPr>
        <w:t>Varian</w:t>
      </w:r>
      <w:proofErr w:type="spellEnd"/>
      <w:r w:rsidRPr="00E54FD3">
        <w:rPr>
          <w:rFonts w:ascii="Arial" w:hAnsi="Arial" w:cs="Arial"/>
          <w:i/>
          <w:snapToGrid w:val="0"/>
          <w:color w:val="000000"/>
          <w:sz w:val="20"/>
          <w:szCs w:val="20"/>
        </w:rPr>
        <w:t xml:space="preserve"> Medical Systems</w:t>
      </w:r>
      <w:r w:rsidRPr="00E54FD3">
        <w:rPr>
          <w:rFonts w:ascii="Arial" w:hAnsi="Arial" w:cs="Arial"/>
          <w:snapToGrid w:val="0"/>
          <w:color w:val="000000"/>
          <w:sz w:val="20"/>
          <w:szCs w:val="20"/>
        </w:rPr>
        <w:t xml:space="preserve">, </w:t>
      </w:r>
      <w:proofErr w:type="spellStart"/>
      <w:r w:rsidRPr="00E54FD3">
        <w:rPr>
          <w:rFonts w:ascii="Arial" w:hAnsi="Arial" w:cs="Arial"/>
          <w:snapToGrid w:val="0"/>
          <w:color w:val="000000"/>
          <w:sz w:val="20"/>
          <w:szCs w:val="20"/>
        </w:rPr>
        <w:t>Palo</w:t>
      </w:r>
      <w:proofErr w:type="spellEnd"/>
      <w:r w:rsidRPr="00E54FD3">
        <w:rPr>
          <w:rFonts w:ascii="Arial" w:hAnsi="Arial" w:cs="Arial"/>
          <w:snapToGrid w:val="0"/>
          <w:color w:val="000000"/>
          <w:sz w:val="20"/>
          <w:szCs w:val="20"/>
        </w:rPr>
        <w:t xml:space="preserve"> Alto, CA), usando o algoritmo </w:t>
      </w:r>
      <w:proofErr w:type="spellStart"/>
      <w:r w:rsidRPr="00E54FD3">
        <w:rPr>
          <w:rFonts w:ascii="Arial" w:hAnsi="Arial" w:cs="Arial"/>
          <w:i/>
          <w:snapToGrid w:val="0"/>
          <w:color w:val="000000"/>
          <w:sz w:val="20"/>
          <w:szCs w:val="20"/>
        </w:rPr>
        <w:t>Analytical</w:t>
      </w:r>
      <w:proofErr w:type="spellEnd"/>
      <w:r w:rsidRPr="00E54FD3">
        <w:rPr>
          <w:rFonts w:ascii="Arial" w:hAnsi="Arial" w:cs="Arial"/>
          <w:i/>
          <w:snapToGrid w:val="0"/>
          <w:color w:val="000000"/>
          <w:sz w:val="20"/>
          <w:szCs w:val="20"/>
        </w:rPr>
        <w:t xml:space="preserve"> </w:t>
      </w:r>
      <w:proofErr w:type="spellStart"/>
      <w:r w:rsidRPr="00E54FD3">
        <w:rPr>
          <w:rFonts w:ascii="Arial" w:hAnsi="Arial" w:cs="Arial"/>
          <w:i/>
          <w:snapToGrid w:val="0"/>
          <w:color w:val="000000"/>
          <w:sz w:val="20"/>
          <w:szCs w:val="20"/>
        </w:rPr>
        <w:t>Anisotropic</w:t>
      </w:r>
      <w:proofErr w:type="spellEnd"/>
      <w:r w:rsidRPr="00E54FD3">
        <w:rPr>
          <w:rFonts w:ascii="Arial" w:hAnsi="Arial" w:cs="Arial"/>
          <w:i/>
          <w:snapToGrid w:val="0"/>
          <w:color w:val="000000"/>
          <w:sz w:val="20"/>
          <w:szCs w:val="20"/>
        </w:rPr>
        <w:t xml:space="preserve"> </w:t>
      </w:r>
      <w:proofErr w:type="spellStart"/>
      <w:r w:rsidRPr="00E54FD3">
        <w:rPr>
          <w:rFonts w:ascii="Arial" w:hAnsi="Arial" w:cs="Arial"/>
          <w:i/>
          <w:snapToGrid w:val="0"/>
          <w:color w:val="000000"/>
          <w:sz w:val="20"/>
          <w:szCs w:val="20"/>
        </w:rPr>
        <w:t>Algorithm</w:t>
      </w:r>
      <w:proofErr w:type="spellEnd"/>
      <w:r w:rsidRPr="00E54FD3">
        <w:rPr>
          <w:rFonts w:ascii="Arial" w:hAnsi="Arial" w:cs="Arial"/>
          <w:snapToGrid w:val="0"/>
          <w:color w:val="000000"/>
          <w:sz w:val="20"/>
          <w:szCs w:val="20"/>
        </w:rPr>
        <w:t xml:space="preserve"> (AAA). Nes</w:t>
      </w:r>
      <w:r>
        <w:rPr>
          <w:rFonts w:ascii="Arial" w:hAnsi="Arial" w:cs="Arial"/>
          <w:snapToGrid w:val="0"/>
          <w:color w:val="000000"/>
          <w:sz w:val="20"/>
          <w:szCs w:val="20"/>
        </w:rPr>
        <w:t>s</w:t>
      </w:r>
      <w:r w:rsidRPr="00E54FD3">
        <w:rPr>
          <w:rFonts w:ascii="Arial" w:hAnsi="Arial" w:cs="Arial"/>
          <w:snapToGrid w:val="0"/>
          <w:color w:val="000000"/>
          <w:sz w:val="20"/>
          <w:szCs w:val="20"/>
        </w:rPr>
        <w:t>es planejamentos não foram utilizadas correções para heterogeneidades. Estes pacientes foram tratados com feixe de fótons com energia de 6MV no acelerador linear CLINAC IX</w:t>
      </w:r>
      <w:r>
        <w:rPr>
          <w:rFonts w:ascii="Arial" w:hAnsi="Arial" w:cs="Arial"/>
          <w:snapToGrid w:val="0"/>
          <w:color w:val="000000"/>
          <w:sz w:val="20"/>
          <w:szCs w:val="20"/>
        </w:rPr>
        <w:t>,</w:t>
      </w:r>
      <w:r w:rsidRPr="00E54FD3">
        <w:rPr>
          <w:rFonts w:ascii="Arial" w:hAnsi="Arial" w:cs="Arial"/>
          <w:snapToGrid w:val="0"/>
          <w:color w:val="000000"/>
          <w:sz w:val="20"/>
          <w:szCs w:val="20"/>
        </w:rPr>
        <w:t xml:space="preserve"> instalado no Hospital São Lucas da PUCRS. As doses prescritas para estes tratamentos variaram entre 60 e 74 </w:t>
      </w:r>
      <w:proofErr w:type="spellStart"/>
      <w:r w:rsidRPr="00E54FD3">
        <w:rPr>
          <w:rFonts w:ascii="Arial" w:hAnsi="Arial" w:cs="Arial"/>
          <w:snapToGrid w:val="0"/>
          <w:color w:val="000000"/>
          <w:sz w:val="20"/>
          <w:szCs w:val="20"/>
        </w:rPr>
        <w:t>Gy</w:t>
      </w:r>
      <w:proofErr w:type="spellEnd"/>
      <w:r w:rsidRPr="00E54FD3">
        <w:rPr>
          <w:rFonts w:ascii="Arial" w:hAnsi="Arial" w:cs="Arial"/>
          <w:snapToGrid w:val="0"/>
          <w:color w:val="000000"/>
          <w:sz w:val="20"/>
          <w:szCs w:val="20"/>
        </w:rPr>
        <w:t>. As propostas de tratamento eram similares, diferindo apenas em termos de dose prescrita.</w:t>
      </w:r>
    </w:p>
    <w:p w:rsidR="00D74C1C" w:rsidRPr="00E54FD3" w:rsidRDefault="00D74C1C" w:rsidP="00D74C1C">
      <w:pPr>
        <w:ind w:firstLine="187"/>
        <w:jc w:val="both"/>
        <w:rPr>
          <w:rFonts w:ascii="Arial" w:hAnsi="Arial" w:cs="Arial"/>
          <w:snapToGrid w:val="0"/>
          <w:color w:val="000000"/>
          <w:sz w:val="20"/>
          <w:szCs w:val="20"/>
        </w:rPr>
      </w:pPr>
      <w:r w:rsidRPr="00E54FD3">
        <w:rPr>
          <w:rFonts w:ascii="Arial" w:hAnsi="Arial" w:cs="Arial"/>
          <w:snapToGrid w:val="0"/>
          <w:color w:val="000000"/>
          <w:sz w:val="20"/>
          <w:szCs w:val="20"/>
        </w:rPr>
        <w:t>Entre os parâmetros importantes que surgem na avaliação da qualidade do planejamento, incluem-se os índices de homogeneidade e de conformidade da distribuição de dose. A homogeneidade de dose caracteriza a distribuição uniforme da dose absorvida no PTV, enquanto a conformidade caracteriza quanto do PTV está na região de a</w:t>
      </w:r>
      <w:r>
        <w:rPr>
          <w:rFonts w:ascii="Arial" w:hAnsi="Arial" w:cs="Arial"/>
          <w:snapToGrid w:val="0"/>
          <w:color w:val="000000"/>
          <w:sz w:val="20"/>
          <w:szCs w:val="20"/>
        </w:rPr>
        <w:t>lta dose do tratamento</w:t>
      </w:r>
      <w:r>
        <w:rPr>
          <w:rFonts w:ascii="Arial" w:hAnsi="Arial" w:cs="Arial"/>
          <w:snapToGrid w:val="0"/>
          <w:color w:val="000000"/>
          <w:sz w:val="20"/>
          <w:szCs w:val="20"/>
          <w:vertAlign w:val="superscript"/>
        </w:rPr>
        <w:t>3</w:t>
      </w:r>
      <w:r w:rsidRPr="00E54FD3">
        <w:rPr>
          <w:rFonts w:ascii="Arial" w:hAnsi="Arial" w:cs="Arial"/>
          <w:snapToGrid w:val="0"/>
          <w:color w:val="000000"/>
          <w:sz w:val="20"/>
          <w:szCs w:val="20"/>
        </w:rPr>
        <w:t>. No tratamento de radioterapia, é importante que todo o tumor seja irradiado com a dose prescrita, para que a eficácia do tratamento seja maximizada.</w:t>
      </w:r>
    </w:p>
    <w:p w:rsidR="00D74C1C" w:rsidRDefault="00D74C1C" w:rsidP="00D74C1C">
      <w:pPr>
        <w:ind w:firstLine="187"/>
        <w:jc w:val="both"/>
        <w:rPr>
          <w:rFonts w:ascii="Arial" w:hAnsi="Arial" w:cs="Arial"/>
          <w:snapToGrid w:val="0"/>
          <w:color w:val="000000"/>
          <w:sz w:val="20"/>
          <w:szCs w:val="20"/>
        </w:rPr>
      </w:pPr>
      <w:r w:rsidRPr="00E54FD3">
        <w:rPr>
          <w:rFonts w:ascii="Arial" w:hAnsi="Arial" w:cs="Arial"/>
          <w:snapToGrid w:val="0"/>
          <w:color w:val="000000"/>
          <w:sz w:val="20"/>
          <w:szCs w:val="20"/>
        </w:rPr>
        <w:t xml:space="preserve">O IH é definido como a diferença entre a dose máxima e a dose mínima, normalizada pela dose de 50%, ou seja, </w:t>
      </w:r>
    </w:p>
    <w:p w:rsidR="00342CB3" w:rsidRDefault="00342CB3" w:rsidP="00D74C1C">
      <w:pPr>
        <w:ind w:firstLine="187"/>
        <w:jc w:val="both"/>
        <w:rPr>
          <w:rFonts w:ascii="Arial" w:hAnsi="Arial" w:cs="Arial"/>
          <w:snapToGrid w:val="0"/>
          <w:color w:val="000000"/>
          <w:sz w:val="20"/>
          <w:szCs w:val="20"/>
        </w:rPr>
      </w:pPr>
    </w:p>
    <w:p w:rsidR="00D74C1C" w:rsidRPr="00E54FD3" w:rsidRDefault="00342CB3" w:rsidP="00D74C1C">
      <w:pPr>
        <w:ind w:firstLine="187"/>
        <w:jc w:val="both"/>
        <w:rPr>
          <w:rFonts w:ascii="Arial" w:hAnsi="Arial" w:cs="Arial"/>
          <w:snapToGrid w:val="0"/>
          <w:color w:val="000000"/>
          <w:sz w:val="20"/>
          <w:szCs w:val="20"/>
        </w:rPr>
      </w:pPr>
      <m:oMath>
        <m:r>
          <w:rPr>
            <w:rFonts w:ascii="Cambria Math" w:hAnsi="Cambria Math" w:cs="Arial"/>
            <w:snapToGrid w:val="0"/>
            <w:color w:val="000000"/>
            <w:sz w:val="20"/>
            <w:szCs w:val="20"/>
          </w:rPr>
          <m:t>IH=100.</m:t>
        </m:r>
        <m:d>
          <m:dPr>
            <m:ctrlPr>
              <w:rPr>
                <w:rFonts w:ascii="Cambria Math" w:hAnsi="Cambria Math" w:cs="Arial"/>
                <w:i/>
                <w:snapToGrid w:val="0"/>
                <w:color w:val="000000"/>
                <w:sz w:val="20"/>
                <w:szCs w:val="20"/>
              </w:rPr>
            </m:ctrlPr>
          </m:dPr>
          <m:e>
            <m:f>
              <m:fPr>
                <m:ctrlPr>
                  <w:rPr>
                    <w:rFonts w:ascii="Cambria Math" w:hAnsi="Cambria Math" w:cs="Arial"/>
                    <w:i/>
                    <w:snapToGrid w:val="0"/>
                    <w:color w:val="000000"/>
                    <w:sz w:val="20"/>
                    <w:szCs w:val="20"/>
                  </w:rPr>
                </m:ctrlPr>
              </m:fPr>
              <m:num>
                <m:sSub>
                  <m:sSubPr>
                    <m:ctrlPr>
                      <w:rPr>
                        <w:rFonts w:ascii="Cambria Math" w:hAnsi="Cambria Math" w:cs="Arial"/>
                        <w:i/>
                        <w:snapToGrid w:val="0"/>
                        <w:color w:val="000000"/>
                        <w:sz w:val="20"/>
                        <w:szCs w:val="20"/>
                      </w:rPr>
                    </m:ctrlPr>
                  </m:sSubPr>
                  <m:e>
                    <m:r>
                      <w:rPr>
                        <w:rFonts w:ascii="Cambria Math" w:hAnsi="Cambria Math" w:cs="Arial"/>
                        <w:snapToGrid w:val="0"/>
                        <w:color w:val="000000"/>
                        <w:sz w:val="20"/>
                        <w:szCs w:val="20"/>
                      </w:rPr>
                      <m:t>D</m:t>
                    </m:r>
                  </m:e>
                  <m:sub>
                    <m:r>
                      <w:rPr>
                        <w:rFonts w:ascii="Cambria Math" w:hAnsi="Cambria Math" w:cs="Arial"/>
                        <w:snapToGrid w:val="0"/>
                        <w:color w:val="000000"/>
                        <w:sz w:val="20"/>
                        <w:szCs w:val="20"/>
                      </w:rPr>
                      <m:t>2%</m:t>
                    </m:r>
                  </m:sub>
                </m:sSub>
                <m:r>
                  <w:rPr>
                    <w:rFonts w:ascii="Cambria Math" w:hAnsi="Cambria Math" w:cs="Arial"/>
                    <w:snapToGrid w:val="0"/>
                    <w:color w:val="000000"/>
                    <w:sz w:val="20"/>
                    <w:szCs w:val="20"/>
                  </w:rPr>
                  <m:t>-</m:t>
                </m:r>
                <m:sSub>
                  <m:sSubPr>
                    <m:ctrlPr>
                      <w:rPr>
                        <w:rFonts w:ascii="Cambria Math" w:hAnsi="Cambria Math" w:cs="Arial"/>
                        <w:i/>
                        <w:snapToGrid w:val="0"/>
                        <w:color w:val="000000"/>
                        <w:sz w:val="20"/>
                        <w:szCs w:val="20"/>
                      </w:rPr>
                    </m:ctrlPr>
                  </m:sSubPr>
                  <m:e>
                    <m:r>
                      <w:rPr>
                        <w:rFonts w:ascii="Cambria Math" w:hAnsi="Cambria Math" w:cs="Arial"/>
                        <w:snapToGrid w:val="0"/>
                        <w:color w:val="000000"/>
                        <w:sz w:val="20"/>
                        <w:szCs w:val="20"/>
                      </w:rPr>
                      <m:t>D</m:t>
                    </m:r>
                  </m:e>
                  <m:sub>
                    <m:r>
                      <w:rPr>
                        <w:rFonts w:ascii="Cambria Math" w:hAnsi="Cambria Math" w:cs="Arial"/>
                        <w:snapToGrid w:val="0"/>
                        <w:color w:val="000000"/>
                        <w:sz w:val="20"/>
                        <w:szCs w:val="20"/>
                      </w:rPr>
                      <m:t>98%</m:t>
                    </m:r>
                  </m:sub>
                </m:sSub>
              </m:num>
              <m:den>
                <m:sSub>
                  <m:sSubPr>
                    <m:ctrlPr>
                      <w:rPr>
                        <w:rFonts w:ascii="Cambria Math" w:hAnsi="Cambria Math" w:cs="Arial"/>
                        <w:i/>
                        <w:snapToGrid w:val="0"/>
                        <w:color w:val="000000"/>
                        <w:sz w:val="20"/>
                        <w:szCs w:val="20"/>
                      </w:rPr>
                    </m:ctrlPr>
                  </m:sSubPr>
                  <m:e>
                    <m:r>
                      <w:rPr>
                        <w:rFonts w:ascii="Cambria Math" w:hAnsi="Cambria Math" w:cs="Arial"/>
                        <w:snapToGrid w:val="0"/>
                        <w:color w:val="000000"/>
                        <w:sz w:val="20"/>
                        <w:szCs w:val="20"/>
                      </w:rPr>
                      <m:t>D</m:t>
                    </m:r>
                  </m:e>
                  <m:sub>
                    <m:r>
                      <w:rPr>
                        <w:rFonts w:ascii="Cambria Math" w:hAnsi="Cambria Math" w:cs="Arial"/>
                        <w:snapToGrid w:val="0"/>
                        <w:color w:val="000000"/>
                        <w:sz w:val="20"/>
                        <w:szCs w:val="20"/>
                      </w:rPr>
                      <m:t>50%</m:t>
                    </m:r>
                  </m:sub>
                </m:sSub>
              </m:den>
            </m:f>
          </m:e>
        </m:d>
      </m:oMath>
      <w:r w:rsidR="00D74C1C">
        <w:rPr>
          <w:rFonts w:ascii="Arial" w:hAnsi="Arial" w:cs="Arial"/>
          <w:snapToGrid w:val="0"/>
          <w:color w:val="000000"/>
          <w:sz w:val="20"/>
          <w:szCs w:val="20"/>
        </w:rPr>
        <w:tab/>
      </w:r>
      <w:r w:rsidR="00D74C1C" w:rsidRPr="00E54FD3">
        <w:rPr>
          <w:rFonts w:ascii="Arial" w:hAnsi="Arial" w:cs="Arial"/>
          <w:snapToGrid w:val="0"/>
          <w:color w:val="000000"/>
          <w:sz w:val="20"/>
          <w:szCs w:val="20"/>
        </w:rPr>
        <w:tab/>
      </w:r>
      <w:r w:rsidR="00D74C1C">
        <w:rPr>
          <w:rFonts w:ascii="Arial" w:hAnsi="Arial" w:cs="Arial"/>
          <w:snapToGrid w:val="0"/>
          <w:color w:val="000000"/>
          <w:sz w:val="20"/>
          <w:szCs w:val="20"/>
        </w:rPr>
        <w:tab/>
        <w:t xml:space="preserve"> </w:t>
      </w:r>
      <w:r w:rsidR="00D74C1C" w:rsidRPr="00E54FD3">
        <w:rPr>
          <w:rFonts w:ascii="Arial" w:hAnsi="Arial" w:cs="Arial"/>
          <w:snapToGrid w:val="0"/>
          <w:color w:val="000000"/>
          <w:sz w:val="20"/>
          <w:szCs w:val="20"/>
        </w:rPr>
        <w:t>(1)</w:t>
      </w:r>
    </w:p>
    <w:p w:rsidR="00D74C1C" w:rsidRDefault="00D74C1C" w:rsidP="00D74C1C">
      <w:pPr>
        <w:ind w:firstLine="187"/>
        <w:jc w:val="both"/>
        <w:rPr>
          <w:rFonts w:ascii="Arial" w:hAnsi="Arial" w:cs="Arial"/>
          <w:snapToGrid w:val="0"/>
          <w:color w:val="000000"/>
          <w:sz w:val="20"/>
          <w:szCs w:val="20"/>
        </w:rPr>
      </w:pPr>
    </w:p>
    <w:p w:rsidR="00342CB3" w:rsidRPr="00E54FD3" w:rsidRDefault="00342CB3" w:rsidP="00342CB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ontextualSpacing/>
        <w:jc w:val="both"/>
        <w:rPr>
          <w:rFonts w:ascii="Arial" w:hAnsi="Arial" w:cs="Arial"/>
          <w:snapToGrid w:val="0"/>
          <w:color w:val="000000"/>
          <w:sz w:val="20"/>
          <w:szCs w:val="20"/>
        </w:rPr>
      </w:pPr>
      <w:proofErr w:type="gramStart"/>
      <w:r w:rsidRPr="00E54FD3">
        <w:rPr>
          <w:rFonts w:ascii="Arial" w:hAnsi="Arial" w:cs="Arial"/>
          <w:snapToGrid w:val="0"/>
          <w:color w:val="000000"/>
          <w:sz w:val="20"/>
          <w:szCs w:val="20"/>
        </w:rPr>
        <w:t>onde</w:t>
      </w:r>
      <w:proofErr w:type="gramEnd"/>
      <w:r w:rsidRPr="00E54FD3">
        <w:rPr>
          <w:rFonts w:ascii="Arial" w:hAnsi="Arial" w:cs="Arial"/>
          <w:snapToGrid w:val="0"/>
          <w:color w:val="000000"/>
          <w:sz w:val="20"/>
          <w:szCs w:val="20"/>
        </w:rPr>
        <w:t xml:space="preserve"> </w:t>
      </w:r>
      <w:r w:rsidRPr="004C25DF">
        <w:rPr>
          <w:i/>
          <w:snapToGrid w:val="0"/>
          <w:color w:val="000000"/>
          <w:sz w:val="20"/>
          <w:szCs w:val="20"/>
        </w:rPr>
        <w:t>D</w:t>
      </w:r>
      <w:r w:rsidRPr="004C25DF">
        <w:rPr>
          <w:i/>
          <w:snapToGrid w:val="0"/>
          <w:color w:val="000000"/>
          <w:sz w:val="20"/>
          <w:szCs w:val="20"/>
          <w:vertAlign w:val="subscript"/>
        </w:rPr>
        <w:t>x%</w:t>
      </w:r>
      <w:r>
        <w:rPr>
          <w:rFonts w:ascii="Arial" w:hAnsi="Arial" w:cs="Arial"/>
          <w:snapToGrid w:val="0"/>
          <w:color w:val="000000"/>
          <w:sz w:val="20"/>
          <w:szCs w:val="20"/>
        </w:rPr>
        <w:t xml:space="preserve"> é a </w:t>
      </w:r>
      <w:r w:rsidRPr="00E54FD3">
        <w:rPr>
          <w:rFonts w:ascii="Arial" w:hAnsi="Arial" w:cs="Arial"/>
          <w:snapToGrid w:val="0"/>
          <w:color w:val="000000"/>
          <w:sz w:val="20"/>
          <w:szCs w:val="20"/>
        </w:rPr>
        <w:t xml:space="preserve">dose entregue para </w:t>
      </w:r>
      <w:r w:rsidRPr="004C25DF">
        <w:rPr>
          <w:i/>
          <w:snapToGrid w:val="0"/>
          <w:color w:val="000000"/>
          <w:sz w:val="20"/>
          <w:szCs w:val="20"/>
        </w:rPr>
        <w:t>x%</w:t>
      </w:r>
      <w:r w:rsidRPr="00E54FD3">
        <w:rPr>
          <w:rFonts w:ascii="Arial" w:hAnsi="Arial" w:cs="Arial"/>
          <w:snapToGrid w:val="0"/>
          <w:color w:val="000000"/>
          <w:sz w:val="20"/>
          <w:szCs w:val="20"/>
        </w:rPr>
        <w:t xml:space="preserve"> do PTV. Como sugerido pela ICRU 83, toma-se como dose máxima o valor </w:t>
      </w:r>
      <w:r w:rsidRPr="004C25DF">
        <w:rPr>
          <w:i/>
          <w:snapToGrid w:val="0"/>
          <w:color w:val="000000"/>
          <w:sz w:val="20"/>
          <w:szCs w:val="20"/>
        </w:rPr>
        <w:t>D</w:t>
      </w:r>
      <w:r w:rsidRPr="004C25DF">
        <w:rPr>
          <w:i/>
          <w:snapToGrid w:val="0"/>
          <w:color w:val="000000"/>
          <w:sz w:val="20"/>
          <w:szCs w:val="20"/>
          <w:vertAlign w:val="subscript"/>
        </w:rPr>
        <w:t>2%</w:t>
      </w:r>
      <w:r w:rsidRPr="00E54FD3">
        <w:rPr>
          <w:rFonts w:ascii="Arial" w:hAnsi="Arial" w:cs="Arial"/>
          <w:snapToGrid w:val="0"/>
          <w:color w:val="000000"/>
          <w:sz w:val="20"/>
          <w:szCs w:val="20"/>
        </w:rPr>
        <w:t>, e do</w:t>
      </w:r>
      <w:r>
        <w:rPr>
          <w:rFonts w:ascii="Arial" w:hAnsi="Arial" w:cs="Arial"/>
          <w:snapToGrid w:val="0"/>
          <w:color w:val="000000"/>
          <w:sz w:val="20"/>
          <w:szCs w:val="20"/>
        </w:rPr>
        <w:t xml:space="preserve">se mínima o valor </w:t>
      </w:r>
      <w:r w:rsidRPr="004C25DF">
        <w:rPr>
          <w:i/>
          <w:snapToGrid w:val="0"/>
          <w:color w:val="000000"/>
          <w:sz w:val="20"/>
          <w:szCs w:val="20"/>
        </w:rPr>
        <w:t>D</w:t>
      </w:r>
      <w:r w:rsidRPr="004C25DF">
        <w:rPr>
          <w:i/>
          <w:snapToGrid w:val="0"/>
          <w:color w:val="000000"/>
          <w:sz w:val="20"/>
          <w:szCs w:val="20"/>
          <w:vertAlign w:val="subscript"/>
        </w:rPr>
        <w:t>98%</w:t>
      </w:r>
      <w:r>
        <w:rPr>
          <w:rFonts w:ascii="Arial" w:hAnsi="Arial" w:cs="Arial"/>
          <w:snapToGrid w:val="0"/>
          <w:color w:val="000000"/>
          <w:sz w:val="20"/>
          <w:szCs w:val="20"/>
          <w:vertAlign w:val="superscript"/>
        </w:rPr>
        <w:t>3</w:t>
      </w:r>
      <w:r w:rsidRPr="00E54FD3">
        <w:rPr>
          <w:rFonts w:ascii="Arial" w:hAnsi="Arial" w:cs="Arial"/>
          <w:snapToGrid w:val="0"/>
          <w:color w:val="000000"/>
          <w:sz w:val="20"/>
          <w:szCs w:val="20"/>
        </w:rPr>
        <w:t>. Quanto mais próximo de zero o IH for, mais homogênea é a distribuição de dose.</w:t>
      </w:r>
    </w:p>
    <w:p w:rsidR="00342CB3" w:rsidRPr="00E54FD3" w:rsidRDefault="00342CB3" w:rsidP="00342CB3">
      <w:pPr>
        <w:ind w:firstLine="187"/>
        <w:jc w:val="both"/>
        <w:rPr>
          <w:rFonts w:ascii="Arial" w:hAnsi="Arial" w:cs="Arial"/>
          <w:snapToGrid w:val="0"/>
          <w:color w:val="000000"/>
          <w:sz w:val="20"/>
          <w:szCs w:val="20"/>
        </w:rPr>
      </w:pPr>
      <w:r w:rsidRPr="00E54FD3">
        <w:rPr>
          <w:rFonts w:ascii="Arial" w:hAnsi="Arial" w:cs="Arial"/>
          <w:snapToGrid w:val="0"/>
          <w:color w:val="000000"/>
          <w:sz w:val="20"/>
          <w:szCs w:val="20"/>
        </w:rPr>
        <w:t>O IC, por sua vez, é definido como a razão entre o volume da dose prescrita para o tratamento (</w:t>
      </w:r>
      <w:r w:rsidRPr="004C25DF">
        <w:rPr>
          <w:i/>
          <w:snapToGrid w:val="0"/>
          <w:color w:val="000000"/>
          <w:sz w:val="20"/>
          <w:szCs w:val="20"/>
        </w:rPr>
        <w:t>VT</w:t>
      </w:r>
      <w:r w:rsidRPr="00E54FD3">
        <w:rPr>
          <w:rFonts w:ascii="Arial" w:hAnsi="Arial" w:cs="Arial"/>
          <w:snapToGrid w:val="0"/>
          <w:color w:val="000000"/>
          <w:sz w:val="20"/>
          <w:szCs w:val="20"/>
        </w:rPr>
        <w:t>) e</w:t>
      </w:r>
      <w:r>
        <w:rPr>
          <w:rFonts w:ascii="Arial" w:hAnsi="Arial" w:cs="Arial"/>
          <w:snapToGrid w:val="0"/>
          <w:color w:val="000000"/>
          <w:sz w:val="20"/>
          <w:szCs w:val="20"/>
        </w:rPr>
        <w:t xml:space="preserve"> o volume do PTV</w:t>
      </w:r>
      <w:r>
        <w:rPr>
          <w:rFonts w:ascii="Arial" w:hAnsi="Arial" w:cs="Arial"/>
          <w:snapToGrid w:val="0"/>
          <w:color w:val="000000"/>
          <w:sz w:val="20"/>
          <w:szCs w:val="20"/>
          <w:vertAlign w:val="superscript"/>
        </w:rPr>
        <w:t>5</w:t>
      </w:r>
      <w:r w:rsidRPr="00E54FD3">
        <w:rPr>
          <w:rFonts w:ascii="Arial" w:hAnsi="Arial" w:cs="Arial"/>
          <w:snapToGrid w:val="0"/>
          <w:color w:val="000000"/>
          <w:sz w:val="20"/>
          <w:szCs w:val="20"/>
        </w:rPr>
        <w:t>, ou seja,</w:t>
      </w:r>
    </w:p>
    <w:p w:rsidR="00342CB3" w:rsidRPr="00E54FD3" w:rsidRDefault="00342CB3" w:rsidP="00342CB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ontextualSpacing/>
        <w:jc w:val="both"/>
        <w:rPr>
          <w:rFonts w:ascii="Arial" w:hAnsi="Arial" w:cs="Arial"/>
          <w:snapToGrid w:val="0"/>
          <w:color w:val="000000"/>
          <w:sz w:val="20"/>
          <w:szCs w:val="20"/>
        </w:rPr>
      </w:pPr>
    </w:p>
    <w:p w:rsidR="00342CB3" w:rsidRPr="00E54FD3" w:rsidRDefault="00342CB3" w:rsidP="00342CB3">
      <w:pPr>
        <w:ind w:firstLine="187"/>
        <w:jc w:val="both"/>
        <w:rPr>
          <w:rFonts w:ascii="Arial" w:hAnsi="Arial" w:cs="Arial"/>
          <w:snapToGrid w:val="0"/>
          <w:color w:val="000000"/>
          <w:sz w:val="20"/>
          <w:szCs w:val="20"/>
        </w:rPr>
      </w:pPr>
      <m:oMath>
        <m:r>
          <w:rPr>
            <w:rFonts w:ascii="Cambria Math" w:hAnsi="Cambria Math" w:cs="Arial"/>
            <w:snapToGrid w:val="0"/>
            <w:color w:val="000000"/>
            <w:sz w:val="20"/>
            <w:szCs w:val="20"/>
          </w:rPr>
          <m:t>IC=</m:t>
        </m:r>
        <m:f>
          <m:fPr>
            <m:ctrlPr>
              <w:rPr>
                <w:rFonts w:ascii="Cambria Math" w:hAnsi="Cambria Math" w:cs="Arial"/>
                <w:i/>
                <w:snapToGrid w:val="0"/>
                <w:color w:val="000000"/>
                <w:sz w:val="20"/>
                <w:szCs w:val="20"/>
              </w:rPr>
            </m:ctrlPr>
          </m:fPr>
          <m:num>
            <m:sSub>
              <m:sSubPr>
                <m:ctrlPr>
                  <w:rPr>
                    <w:rFonts w:ascii="Cambria Math" w:hAnsi="Cambria Math" w:cs="Arial"/>
                    <w:i/>
                    <w:snapToGrid w:val="0"/>
                    <w:color w:val="000000"/>
                    <w:sz w:val="20"/>
                    <w:szCs w:val="20"/>
                  </w:rPr>
                </m:ctrlPr>
              </m:sSubPr>
              <m:e>
                <m:r>
                  <w:rPr>
                    <w:rFonts w:ascii="Cambria Math" w:hAnsi="Cambria Math" w:cs="Arial"/>
                    <w:snapToGrid w:val="0"/>
                    <w:color w:val="000000"/>
                    <w:sz w:val="20"/>
                    <w:szCs w:val="20"/>
                  </w:rPr>
                  <m:t>V</m:t>
                </m:r>
              </m:e>
              <m:sub>
                <m:r>
                  <w:rPr>
                    <w:rFonts w:ascii="Cambria Math" w:hAnsi="Cambria Math" w:cs="Arial"/>
                    <w:snapToGrid w:val="0"/>
                    <w:color w:val="000000"/>
                    <w:sz w:val="20"/>
                    <w:szCs w:val="20"/>
                  </w:rPr>
                  <m:t>VT</m:t>
                </m:r>
              </m:sub>
            </m:sSub>
          </m:num>
          <m:den>
            <m:sSub>
              <m:sSubPr>
                <m:ctrlPr>
                  <w:rPr>
                    <w:rFonts w:ascii="Cambria Math" w:hAnsi="Cambria Math" w:cs="Arial"/>
                    <w:i/>
                    <w:snapToGrid w:val="0"/>
                    <w:color w:val="000000"/>
                    <w:sz w:val="20"/>
                    <w:szCs w:val="20"/>
                  </w:rPr>
                </m:ctrlPr>
              </m:sSubPr>
              <m:e>
                <m:r>
                  <w:rPr>
                    <w:rFonts w:ascii="Cambria Math" w:hAnsi="Cambria Math" w:cs="Arial"/>
                    <w:snapToGrid w:val="0"/>
                    <w:color w:val="000000"/>
                    <w:sz w:val="20"/>
                    <w:szCs w:val="20"/>
                  </w:rPr>
                  <m:t>V</m:t>
                </m:r>
              </m:e>
              <m:sub>
                <m:r>
                  <w:rPr>
                    <w:rFonts w:ascii="Cambria Math" w:hAnsi="Cambria Math" w:cs="Arial"/>
                    <w:snapToGrid w:val="0"/>
                    <w:color w:val="000000"/>
                    <w:sz w:val="20"/>
                    <w:szCs w:val="20"/>
                  </w:rPr>
                  <m:t>PTV</m:t>
                </m:r>
              </m:sub>
            </m:sSub>
          </m:den>
        </m:f>
      </m:oMath>
      <w:r w:rsidRPr="00E54FD3">
        <w:rPr>
          <w:rFonts w:ascii="Arial" w:hAnsi="Arial" w:cs="Arial"/>
          <w:snapToGrid w:val="0"/>
          <w:color w:val="000000"/>
          <w:sz w:val="20"/>
          <w:szCs w:val="20"/>
        </w:rPr>
        <w:t xml:space="preserve">   </w:t>
      </w:r>
      <w:r w:rsidRPr="00E54FD3">
        <w:rPr>
          <w:rFonts w:ascii="Arial" w:hAnsi="Arial" w:cs="Arial"/>
          <w:snapToGrid w:val="0"/>
          <w:color w:val="000000"/>
          <w:sz w:val="20"/>
          <w:szCs w:val="20"/>
        </w:rPr>
        <w:tab/>
      </w:r>
      <w:r w:rsidRPr="00E54FD3">
        <w:rPr>
          <w:rFonts w:ascii="Arial" w:hAnsi="Arial" w:cs="Arial"/>
          <w:snapToGrid w:val="0"/>
          <w:color w:val="000000"/>
          <w:sz w:val="20"/>
          <w:szCs w:val="20"/>
        </w:rPr>
        <w:tab/>
      </w:r>
      <w:r w:rsidRPr="00E54FD3">
        <w:rPr>
          <w:rFonts w:ascii="Arial" w:hAnsi="Arial" w:cs="Arial"/>
          <w:snapToGrid w:val="0"/>
          <w:color w:val="000000"/>
          <w:sz w:val="20"/>
          <w:szCs w:val="20"/>
        </w:rPr>
        <w:tab/>
      </w:r>
      <w:r>
        <w:rPr>
          <w:rFonts w:ascii="Arial" w:hAnsi="Arial" w:cs="Arial"/>
          <w:snapToGrid w:val="0"/>
          <w:color w:val="000000"/>
          <w:sz w:val="20"/>
          <w:szCs w:val="20"/>
        </w:rPr>
        <w:tab/>
        <w:t xml:space="preserve">          </w:t>
      </w:r>
      <w:r>
        <w:rPr>
          <w:rFonts w:ascii="Arial" w:hAnsi="Arial" w:cs="Arial"/>
          <w:snapToGrid w:val="0"/>
          <w:color w:val="000000"/>
          <w:sz w:val="20"/>
          <w:szCs w:val="20"/>
        </w:rPr>
        <w:tab/>
      </w:r>
      <w:r w:rsidRPr="00E54FD3">
        <w:rPr>
          <w:rFonts w:ascii="Arial" w:hAnsi="Arial" w:cs="Arial"/>
          <w:snapToGrid w:val="0"/>
          <w:color w:val="000000"/>
          <w:sz w:val="20"/>
          <w:szCs w:val="20"/>
        </w:rPr>
        <w:t>(2)</w:t>
      </w:r>
    </w:p>
    <w:p w:rsidR="00342CB3" w:rsidRDefault="00342CB3" w:rsidP="00342CB3">
      <w:pPr>
        <w:ind w:firstLine="187"/>
        <w:jc w:val="both"/>
        <w:rPr>
          <w:rFonts w:ascii="Arial" w:hAnsi="Arial" w:cs="Arial"/>
          <w:snapToGrid w:val="0"/>
          <w:color w:val="000000"/>
          <w:sz w:val="20"/>
          <w:szCs w:val="20"/>
        </w:rPr>
      </w:pPr>
    </w:p>
    <w:p w:rsidR="00342CB3" w:rsidRPr="00E54FD3" w:rsidRDefault="00342CB3" w:rsidP="00342CB3">
      <w:pPr>
        <w:ind w:firstLine="187"/>
        <w:jc w:val="both"/>
        <w:rPr>
          <w:rFonts w:ascii="Arial" w:hAnsi="Arial" w:cs="Arial"/>
          <w:snapToGrid w:val="0"/>
          <w:color w:val="000000"/>
          <w:sz w:val="20"/>
          <w:szCs w:val="20"/>
        </w:rPr>
      </w:pPr>
      <w:r w:rsidRPr="00E54FD3">
        <w:rPr>
          <w:rFonts w:ascii="Arial" w:hAnsi="Arial" w:cs="Arial"/>
          <w:snapToGrid w:val="0"/>
          <w:color w:val="000000"/>
          <w:sz w:val="20"/>
          <w:szCs w:val="20"/>
        </w:rPr>
        <w:t>Quanto mais próximo de uma unidade o IC estiver, melhor será a conformidade do tratamento.</w:t>
      </w:r>
    </w:p>
    <w:p w:rsidR="00342CB3" w:rsidRPr="00E54FD3" w:rsidRDefault="00342CB3" w:rsidP="00342CB3">
      <w:pPr>
        <w:ind w:firstLine="187"/>
        <w:jc w:val="both"/>
        <w:rPr>
          <w:rFonts w:ascii="Arial" w:hAnsi="Arial" w:cs="Arial"/>
          <w:snapToGrid w:val="0"/>
          <w:color w:val="000000"/>
          <w:sz w:val="20"/>
          <w:szCs w:val="20"/>
        </w:rPr>
      </w:pPr>
      <w:r w:rsidRPr="00E54FD3">
        <w:rPr>
          <w:rFonts w:ascii="Arial" w:hAnsi="Arial" w:cs="Arial"/>
          <w:snapToGrid w:val="0"/>
          <w:color w:val="000000"/>
          <w:sz w:val="20"/>
          <w:szCs w:val="20"/>
        </w:rPr>
        <w:t>Os valores das doses de 2%, 98% e 50% foram obtidos a partir dos planejamentos e o IH correspondente foi calculado através da equação (1). O IC é fornecido pelo próprio software</w:t>
      </w:r>
      <w:r>
        <w:rPr>
          <w:rFonts w:ascii="Arial" w:hAnsi="Arial" w:cs="Arial"/>
          <w:snapToGrid w:val="0"/>
          <w:color w:val="000000"/>
          <w:sz w:val="20"/>
          <w:szCs w:val="20"/>
        </w:rPr>
        <w:t>, que utiliz</w:t>
      </w:r>
      <w:r w:rsidRPr="00E54FD3">
        <w:rPr>
          <w:rFonts w:ascii="Arial" w:hAnsi="Arial" w:cs="Arial"/>
          <w:snapToGrid w:val="0"/>
          <w:color w:val="000000"/>
          <w:sz w:val="20"/>
          <w:szCs w:val="20"/>
        </w:rPr>
        <w:t>a a mesma definição para IC, dada pela equação (2)</w:t>
      </w:r>
      <w:r>
        <w:rPr>
          <w:rFonts w:ascii="Arial" w:hAnsi="Arial" w:cs="Arial"/>
          <w:snapToGrid w:val="0"/>
          <w:color w:val="000000"/>
          <w:sz w:val="20"/>
          <w:szCs w:val="20"/>
        </w:rPr>
        <w:t>.</w:t>
      </w:r>
      <w:r w:rsidRPr="00E54FD3">
        <w:rPr>
          <w:rFonts w:ascii="Arial" w:hAnsi="Arial" w:cs="Arial"/>
          <w:snapToGrid w:val="0"/>
          <w:color w:val="000000"/>
          <w:sz w:val="20"/>
          <w:szCs w:val="20"/>
        </w:rPr>
        <w:t xml:space="preserve"> Utilizando o </w:t>
      </w:r>
      <w:r w:rsidRPr="00E54FD3">
        <w:rPr>
          <w:rFonts w:ascii="Arial" w:hAnsi="Arial" w:cs="Arial"/>
          <w:i/>
          <w:snapToGrid w:val="0"/>
          <w:color w:val="000000"/>
          <w:sz w:val="20"/>
          <w:szCs w:val="20"/>
        </w:rPr>
        <w:t xml:space="preserve">software </w:t>
      </w:r>
      <w:proofErr w:type="gramStart"/>
      <w:r w:rsidRPr="00E54FD3">
        <w:rPr>
          <w:rFonts w:ascii="Arial" w:hAnsi="Arial" w:cs="Arial"/>
          <w:i/>
          <w:snapToGrid w:val="0"/>
          <w:color w:val="000000"/>
          <w:sz w:val="20"/>
          <w:szCs w:val="20"/>
        </w:rPr>
        <w:t>OriginPro9®</w:t>
      </w:r>
      <w:proofErr w:type="gramEnd"/>
      <w:r w:rsidRPr="00E54FD3">
        <w:rPr>
          <w:rFonts w:ascii="Arial" w:hAnsi="Arial" w:cs="Arial"/>
          <w:snapToGrid w:val="0"/>
          <w:color w:val="000000"/>
          <w:sz w:val="20"/>
          <w:szCs w:val="20"/>
        </w:rPr>
        <w:t xml:space="preserve">, foram realizadas as análises estatísticas dos </w:t>
      </w:r>
      <w:r w:rsidRPr="00E54FD3">
        <w:rPr>
          <w:rFonts w:ascii="Arial" w:hAnsi="Arial" w:cs="Arial"/>
          <w:snapToGrid w:val="0"/>
          <w:color w:val="000000"/>
          <w:sz w:val="20"/>
          <w:szCs w:val="20"/>
        </w:rPr>
        <w:lastRenderedPageBreak/>
        <w:t>dados coletados. Histogramas e gráficos foram elaborados para comparar os resultados obtidos.</w:t>
      </w:r>
    </w:p>
    <w:p w:rsidR="00342CB3" w:rsidRDefault="00342CB3" w:rsidP="00342CB3">
      <w:pPr>
        <w:ind w:firstLine="187"/>
        <w:jc w:val="both"/>
        <w:rPr>
          <w:rFonts w:ascii="Arial" w:hAnsi="Arial" w:cs="Arial"/>
          <w:sz w:val="20"/>
        </w:rPr>
      </w:pPr>
      <w:r w:rsidRPr="00E54FD3">
        <w:rPr>
          <w:rFonts w:ascii="Arial" w:hAnsi="Arial" w:cs="Arial"/>
          <w:snapToGrid w:val="0"/>
          <w:color w:val="000000"/>
          <w:sz w:val="20"/>
          <w:szCs w:val="20"/>
        </w:rPr>
        <w:t xml:space="preserve">Embora a ICRU 83 recomende que os valores de IH e IC, como calculados pelas equações (1) e (2), devem estar tão próximos quanto possível de </w:t>
      </w:r>
      <w:proofErr w:type="gramStart"/>
      <w:r w:rsidRPr="00E54FD3">
        <w:rPr>
          <w:rFonts w:ascii="Arial" w:hAnsi="Arial" w:cs="Arial"/>
          <w:snapToGrid w:val="0"/>
          <w:color w:val="000000"/>
          <w:sz w:val="20"/>
          <w:szCs w:val="20"/>
        </w:rPr>
        <w:t>0</w:t>
      </w:r>
      <w:proofErr w:type="gramEnd"/>
      <w:r w:rsidRPr="00E54FD3">
        <w:rPr>
          <w:rFonts w:ascii="Arial" w:hAnsi="Arial" w:cs="Arial"/>
          <w:snapToGrid w:val="0"/>
          <w:color w:val="000000"/>
          <w:sz w:val="20"/>
          <w:szCs w:val="20"/>
        </w:rPr>
        <w:t xml:space="preserve"> e 1, respectivamente, não há uma recomendação para a variação dos valores de homogeneidade e conformidade empregando a técnica de IMRT. O ideal seria que o histograma de dose-volume (DVH, do </w:t>
      </w:r>
      <w:proofErr w:type="gramStart"/>
      <w:r w:rsidRPr="00E54FD3">
        <w:rPr>
          <w:rFonts w:ascii="Arial" w:hAnsi="Arial" w:cs="Arial"/>
          <w:snapToGrid w:val="0"/>
          <w:color w:val="000000"/>
          <w:sz w:val="20"/>
          <w:szCs w:val="20"/>
        </w:rPr>
        <w:t xml:space="preserve">inglês </w:t>
      </w:r>
      <w:r w:rsidRPr="00E54FD3">
        <w:rPr>
          <w:rFonts w:ascii="Arial" w:hAnsi="Arial" w:cs="Arial"/>
          <w:i/>
          <w:snapToGrid w:val="0"/>
          <w:color w:val="000000"/>
          <w:sz w:val="20"/>
          <w:szCs w:val="20"/>
        </w:rPr>
        <w:t>Dose</w:t>
      </w:r>
      <w:proofErr w:type="gramEnd"/>
      <w:r w:rsidRPr="00E54FD3">
        <w:rPr>
          <w:rFonts w:ascii="Arial" w:hAnsi="Arial" w:cs="Arial"/>
          <w:i/>
          <w:snapToGrid w:val="0"/>
          <w:color w:val="000000"/>
          <w:sz w:val="20"/>
          <w:szCs w:val="20"/>
        </w:rPr>
        <w:t xml:space="preserve"> Volume </w:t>
      </w:r>
      <w:proofErr w:type="spellStart"/>
      <w:r w:rsidRPr="00E54FD3">
        <w:rPr>
          <w:rFonts w:ascii="Arial" w:hAnsi="Arial" w:cs="Arial"/>
          <w:i/>
          <w:snapToGrid w:val="0"/>
          <w:color w:val="000000"/>
          <w:sz w:val="20"/>
          <w:szCs w:val="20"/>
        </w:rPr>
        <w:t>Histogram</w:t>
      </w:r>
      <w:proofErr w:type="spellEnd"/>
      <w:r w:rsidRPr="00E54FD3">
        <w:rPr>
          <w:rFonts w:ascii="Arial" w:hAnsi="Arial" w:cs="Arial"/>
          <w:snapToGrid w:val="0"/>
          <w:color w:val="000000"/>
          <w:sz w:val="20"/>
          <w:szCs w:val="20"/>
        </w:rPr>
        <w:t xml:space="preserve">) cumulativo fosse uma função degrau, o que significaria IH = 0 e IC = 1. No entanto, existem casos em que é interessante deixar pequenas regiões do PTV com diferenças de dose, no intuito de preservar, com maior eficácia, os órgãos de risco </w:t>
      </w:r>
      <w:r>
        <w:rPr>
          <w:rFonts w:ascii="Arial" w:hAnsi="Arial" w:cs="Arial"/>
          <w:snapToGrid w:val="0"/>
          <w:color w:val="000000"/>
          <w:sz w:val="20"/>
          <w:szCs w:val="20"/>
        </w:rPr>
        <w:t>no</w:t>
      </w:r>
      <w:r w:rsidRPr="00E54FD3">
        <w:rPr>
          <w:rFonts w:ascii="Arial" w:hAnsi="Arial" w:cs="Arial"/>
          <w:snapToGrid w:val="0"/>
          <w:color w:val="000000"/>
          <w:sz w:val="20"/>
          <w:szCs w:val="20"/>
        </w:rPr>
        <w:t xml:space="preserve"> entorno do tumor. Isto pode causar uma não homogeneidade acentuada nes</w:t>
      </w:r>
      <w:r>
        <w:rPr>
          <w:rFonts w:ascii="Arial" w:hAnsi="Arial" w:cs="Arial"/>
          <w:snapToGrid w:val="0"/>
          <w:color w:val="000000"/>
          <w:sz w:val="20"/>
          <w:szCs w:val="20"/>
        </w:rPr>
        <w:t>s</w:t>
      </w:r>
      <w:r w:rsidRPr="00E54FD3">
        <w:rPr>
          <w:rFonts w:ascii="Arial" w:hAnsi="Arial" w:cs="Arial"/>
          <w:snapToGrid w:val="0"/>
          <w:color w:val="000000"/>
          <w:sz w:val="20"/>
          <w:szCs w:val="20"/>
        </w:rPr>
        <w:t xml:space="preserve">es locais, e por consequência elevar o IH do planejamento. De qualquer forma, em IMRT, a princípio, é possível obter um grau de homogeneidade superior </w:t>
      </w:r>
      <w:r>
        <w:rPr>
          <w:rFonts w:ascii="Arial" w:hAnsi="Arial" w:cs="Arial"/>
          <w:snapToGrid w:val="0"/>
          <w:color w:val="000000"/>
          <w:sz w:val="20"/>
          <w:szCs w:val="20"/>
        </w:rPr>
        <w:t>ao do 3D-</w:t>
      </w:r>
      <w:proofErr w:type="gramStart"/>
      <w:r>
        <w:rPr>
          <w:rFonts w:ascii="Arial" w:hAnsi="Arial" w:cs="Arial"/>
          <w:snapToGrid w:val="0"/>
          <w:color w:val="000000"/>
          <w:sz w:val="20"/>
          <w:szCs w:val="20"/>
        </w:rPr>
        <w:t>CRT</w:t>
      </w:r>
      <w:r>
        <w:rPr>
          <w:rFonts w:ascii="Arial" w:hAnsi="Arial" w:cs="Arial"/>
          <w:snapToGrid w:val="0"/>
          <w:color w:val="000000"/>
          <w:sz w:val="20"/>
          <w:szCs w:val="20"/>
          <w:vertAlign w:val="superscript"/>
        </w:rPr>
        <w:t>3,</w:t>
      </w:r>
      <w:proofErr w:type="gramEnd"/>
      <w:r>
        <w:rPr>
          <w:rFonts w:ascii="Arial" w:hAnsi="Arial" w:cs="Arial"/>
          <w:snapToGrid w:val="0"/>
          <w:color w:val="000000"/>
          <w:sz w:val="20"/>
          <w:szCs w:val="20"/>
          <w:vertAlign w:val="superscript"/>
        </w:rPr>
        <w:t>4</w:t>
      </w:r>
      <w:r w:rsidRPr="00E54FD3">
        <w:rPr>
          <w:rFonts w:ascii="Arial" w:hAnsi="Arial" w:cs="Arial"/>
          <w:snapToGrid w:val="0"/>
          <w:color w:val="000000"/>
          <w:sz w:val="20"/>
          <w:szCs w:val="20"/>
        </w:rPr>
        <w:t>.</w:t>
      </w:r>
    </w:p>
    <w:p w:rsidR="00221E85" w:rsidRDefault="00221E85" w:rsidP="005F3B4A">
      <w:pPr>
        <w:jc w:val="both"/>
        <w:rPr>
          <w:rFonts w:ascii="Arial" w:hAnsi="Arial" w:cs="Arial"/>
          <w:sz w:val="20"/>
        </w:rPr>
      </w:pPr>
    </w:p>
    <w:p w:rsidR="00221E85" w:rsidRDefault="00221E85" w:rsidP="005F3B4A">
      <w:pPr>
        <w:jc w:val="both"/>
        <w:rPr>
          <w:rFonts w:ascii="Arial" w:hAnsi="Arial" w:cs="Arial"/>
          <w:b/>
          <w:bCs/>
          <w:sz w:val="20"/>
        </w:rPr>
      </w:pPr>
      <w:r>
        <w:rPr>
          <w:rFonts w:ascii="Arial" w:hAnsi="Arial" w:cs="Arial"/>
          <w:b/>
          <w:bCs/>
          <w:sz w:val="20"/>
        </w:rPr>
        <w:t>3. Resultados</w:t>
      </w:r>
    </w:p>
    <w:p w:rsidR="00342CB3" w:rsidRDefault="00342CB3" w:rsidP="00342CB3">
      <w:pPr>
        <w:ind w:firstLine="187"/>
        <w:jc w:val="both"/>
        <w:rPr>
          <w:rFonts w:ascii="Arial" w:hAnsi="Arial" w:cs="Arial"/>
          <w:sz w:val="20"/>
        </w:rPr>
      </w:pPr>
      <w:r w:rsidRPr="00E54FD3">
        <w:rPr>
          <w:rFonts w:ascii="Arial" w:hAnsi="Arial" w:cs="Arial"/>
          <w:snapToGrid w:val="0"/>
          <w:color w:val="000000"/>
          <w:sz w:val="20"/>
          <w:szCs w:val="20"/>
        </w:rPr>
        <w:t>Os valores obtidos para o IH e o IC nos 34 casos analisados são apresentados nos histogramas da Figura</w:t>
      </w:r>
      <w:r>
        <w:rPr>
          <w:rFonts w:ascii="Arial" w:hAnsi="Arial" w:cs="Arial"/>
          <w:snapToGrid w:val="0"/>
          <w:color w:val="000000"/>
          <w:sz w:val="20"/>
          <w:szCs w:val="20"/>
        </w:rPr>
        <w:t xml:space="preserve"> 1</w:t>
      </w:r>
      <w:r>
        <w:rPr>
          <w:rFonts w:ascii="Arial" w:hAnsi="Arial" w:cs="Arial"/>
          <w:sz w:val="20"/>
        </w:rPr>
        <w:t>.</w:t>
      </w:r>
    </w:p>
    <w:p w:rsidR="00342CB3" w:rsidRDefault="00342CB3" w:rsidP="00342CB3">
      <w:pPr>
        <w:jc w:val="both"/>
        <w:rPr>
          <w:rFonts w:ascii="Arial" w:hAnsi="Arial" w:cs="Arial"/>
          <w:sz w:val="20"/>
        </w:rPr>
      </w:pPr>
      <w:r>
        <w:rPr>
          <w:rFonts w:ascii="Arial" w:hAnsi="Arial" w:cs="Arial"/>
          <w:noProof/>
          <w:color w:val="000000"/>
          <w:sz w:val="20"/>
          <w:szCs w:val="20"/>
        </w:rPr>
        <w:drawing>
          <wp:inline distT="0" distB="0" distL="0" distR="0">
            <wp:extent cx="2942590" cy="2336165"/>
            <wp:effectExtent l="0" t="0" r="0" b="6985"/>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703" t="8344" r="2974" b="2779"/>
                    <a:stretch>
                      <a:fillRect/>
                    </a:stretch>
                  </pic:blipFill>
                  <pic:spPr bwMode="auto">
                    <a:xfrm>
                      <a:off x="0" y="0"/>
                      <a:ext cx="2942590" cy="2336165"/>
                    </a:xfrm>
                    <a:prstGeom prst="rect">
                      <a:avLst/>
                    </a:prstGeom>
                    <a:noFill/>
                    <a:ln>
                      <a:noFill/>
                    </a:ln>
                  </pic:spPr>
                </pic:pic>
              </a:graphicData>
            </a:graphic>
          </wp:inline>
        </w:drawing>
      </w:r>
      <w:r>
        <w:rPr>
          <w:rFonts w:ascii="Arial" w:hAnsi="Arial" w:cs="Arial"/>
          <w:noProof/>
          <w:color w:val="000000"/>
          <w:sz w:val="20"/>
          <w:szCs w:val="20"/>
        </w:rPr>
        <w:drawing>
          <wp:inline distT="0" distB="0" distL="0" distR="0">
            <wp:extent cx="2917825" cy="259334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219" t="7742" r="4227" b="3548"/>
                    <a:stretch>
                      <a:fillRect/>
                    </a:stretch>
                  </pic:blipFill>
                  <pic:spPr bwMode="auto">
                    <a:xfrm>
                      <a:off x="0" y="0"/>
                      <a:ext cx="2917825" cy="2593340"/>
                    </a:xfrm>
                    <a:prstGeom prst="rect">
                      <a:avLst/>
                    </a:prstGeom>
                    <a:noFill/>
                    <a:ln>
                      <a:noFill/>
                    </a:ln>
                  </pic:spPr>
                </pic:pic>
              </a:graphicData>
            </a:graphic>
          </wp:inline>
        </w:drawing>
      </w:r>
    </w:p>
    <w:p w:rsidR="00342CB3" w:rsidRDefault="00342CB3" w:rsidP="00342CB3">
      <w:pPr>
        <w:jc w:val="center"/>
        <w:rPr>
          <w:rFonts w:ascii="Arial" w:hAnsi="Arial" w:cs="Arial"/>
          <w:sz w:val="16"/>
        </w:rPr>
      </w:pPr>
      <w:r>
        <w:rPr>
          <w:rFonts w:ascii="Arial" w:hAnsi="Arial" w:cs="Arial"/>
          <w:b/>
          <w:sz w:val="16"/>
        </w:rPr>
        <w:t>Figura 1</w:t>
      </w:r>
      <w:r>
        <w:rPr>
          <w:rFonts w:ascii="Arial" w:hAnsi="Arial" w:cs="Arial"/>
          <w:sz w:val="16"/>
        </w:rPr>
        <w:t xml:space="preserve">. </w:t>
      </w:r>
      <w:r w:rsidRPr="00C6537D">
        <w:rPr>
          <w:rFonts w:ascii="Arial" w:hAnsi="Arial" w:cs="Arial"/>
          <w:snapToGrid w:val="0"/>
          <w:color w:val="000000"/>
          <w:sz w:val="16"/>
          <w:szCs w:val="16"/>
        </w:rPr>
        <w:t>Histogramas de IH e IC obtidos em tratamentos</w:t>
      </w:r>
      <w:r>
        <w:rPr>
          <w:rFonts w:ascii="Arial" w:hAnsi="Arial" w:cs="Arial"/>
          <w:snapToGrid w:val="0"/>
          <w:color w:val="000000"/>
          <w:sz w:val="16"/>
          <w:szCs w:val="16"/>
        </w:rPr>
        <w:t xml:space="preserve"> de próstata com raios X de 6MV.</w:t>
      </w:r>
    </w:p>
    <w:p w:rsidR="00342CB3" w:rsidRDefault="00342CB3" w:rsidP="00342CB3">
      <w:pPr>
        <w:jc w:val="center"/>
        <w:rPr>
          <w:rFonts w:ascii="Arial" w:hAnsi="Arial" w:cs="Arial"/>
          <w:sz w:val="16"/>
        </w:rPr>
      </w:pPr>
    </w:p>
    <w:p w:rsidR="00342CB3" w:rsidRPr="00E54FD3" w:rsidRDefault="00342CB3" w:rsidP="00342CB3">
      <w:pPr>
        <w:ind w:firstLine="187"/>
        <w:jc w:val="both"/>
        <w:rPr>
          <w:rFonts w:ascii="Arial" w:hAnsi="Arial" w:cs="Arial"/>
          <w:snapToGrid w:val="0"/>
          <w:color w:val="000000"/>
          <w:sz w:val="20"/>
          <w:szCs w:val="20"/>
        </w:rPr>
      </w:pPr>
      <w:r w:rsidRPr="00E54FD3">
        <w:rPr>
          <w:rFonts w:ascii="Arial" w:hAnsi="Arial" w:cs="Arial"/>
          <w:snapToGrid w:val="0"/>
          <w:color w:val="000000"/>
          <w:sz w:val="20"/>
          <w:szCs w:val="20"/>
        </w:rPr>
        <w:lastRenderedPageBreak/>
        <w:t>Para o IH, obteve-se uma média de (7 ± 2</w:t>
      </w:r>
      <w:proofErr w:type="gramStart"/>
      <w:r w:rsidRPr="00E54FD3">
        <w:rPr>
          <w:rFonts w:ascii="Arial" w:hAnsi="Arial" w:cs="Arial"/>
          <w:snapToGrid w:val="0"/>
          <w:color w:val="000000"/>
          <w:sz w:val="20"/>
          <w:szCs w:val="20"/>
        </w:rPr>
        <w:t>)</w:t>
      </w:r>
      <w:proofErr w:type="gramEnd"/>
      <w:r w:rsidRPr="00E54FD3">
        <w:rPr>
          <w:rFonts w:ascii="Arial" w:hAnsi="Arial" w:cs="Arial"/>
          <w:snapToGrid w:val="0"/>
          <w:color w:val="000000"/>
          <w:sz w:val="20"/>
          <w:szCs w:val="20"/>
        </w:rPr>
        <w:t xml:space="preserve">%, com máximo de 12,3% e mínimo de 3,76%. Para o IC, a média foi de 1,02 ± 0,06, máximo de 1,2 e mínimo de 0,89. </w:t>
      </w:r>
    </w:p>
    <w:p w:rsidR="00342CB3" w:rsidRDefault="00342CB3" w:rsidP="00342CB3">
      <w:pPr>
        <w:ind w:firstLine="187"/>
        <w:jc w:val="both"/>
        <w:rPr>
          <w:rFonts w:ascii="Arial" w:hAnsi="Arial" w:cs="Arial"/>
          <w:sz w:val="20"/>
        </w:rPr>
      </w:pPr>
      <w:r w:rsidRPr="00E54FD3">
        <w:rPr>
          <w:rFonts w:ascii="Arial" w:hAnsi="Arial" w:cs="Arial"/>
          <w:snapToGrid w:val="0"/>
          <w:color w:val="000000"/>
          <w:sz w:val="20"/>
          <w:szCs w:val="20"/>
        </w:rPr>
        <w:t>Além de obter estes valores médios para o IH e IC, fez-se um gráfico mostrando IH e IC em função da dose máxima. Es</w:t>
      </w:r>
      <w:r>
        <w:rPr>
          <w:rFonts w:ascii="Arial" w:hAnsi="Arial" w:cs="Arial"/>
          <w:snapToGrid w:val="0"/>
          <w:color w:val="000000"/>
          <w:sz w:val="20"/>
          <w:szCs w:val="20"/>
        </w:rPr>
        <w:t>s</w:t>
      </w:r>
      <w:r w:rsidRPr="00E54FD3">
        <w:rPr>
          <w:rFonts w:ascii="Arial" w:hAnsi="Arial" w:cs="Arial"/>
          <w:snapToGrid w:val="0"/>
          <w:color w:val="000000"/>
          <w:sz w:val="20"/>
          <w:szCs w:val="20"/>
        </w:rPr>
        <w:t>es gráficos encontram-se na Figura 2.</w:t>
      </w:r>
    </w:p>
    <w:p w:rsidR="00342CB3" w:rsidRDefault="00342CB3" w:rsidP="00342CB3">
      <w:pPr>
        <w:jc w:val="center"/>
        <w:rPr>
          <w:rFonts w:ascii="Arial" w:hAnsi="Arial" w:cs="Arial"/>
          <w:sz w:val="20"/>
        </w:rPr>
      </w:pPr>
      <w:r>
        <w:rPr>
          <w:rFonts w:ascii="Arial" w:hAnsi="Arial" w:cs="Arial"/>
          <w:noProof/>
          <w:sz w:val="20"/>
          <w:szCs w:val="20"/>
        </w:rPr>
        <w:drawing>
          <wp:inline distT="0" distB="0" distL="0" distR="0">
            <wp:extent cx="2718435" cy="2070100"/>
            <wp:effectExtent l="0" t="0" r="5715" b="635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154"/>
                    <a:stretch>
                      <a:fillRect/>
                    </a:stretch>
                  </pic:blipFill>
                  <pic:spPr bwMode="auto">
                    <a:xfrm>
                      <a:off x="0" y="0"/>
                      <a:ext cx="2718435" cy="2070100"/>
                    </a:xfrm>
                    <a:prstGeom prst="rect">
                      <a:avLst/>
                    </a:prstGeom>
                    <a:noFill/>
                    <a:ln>
                      <a:noFill/>
                    </a:ln>
                  </pic:spPr>
                </pic:pic>
              </a:graphicData>
            </a:graphic>
          </wp:inline>
        </w:drawing>
      </w:r>
      <w:r>
        <w:rPr>
          <w:rFonts w:ascii="Arial" w:hAnsi="Arial" w:cs="Arial"/>
          <w:noProof/>
          <w:sz w:val="20"/>
          <w:szCs w:val="20"/>
        </w:rPr>
        <w:drawing>
          <wp:inline distT="0" distB="0" distL="0" distR="0">
            <wp:extent cx="2718435" cy="2028190"/>
            <wp:effectExtent l="0" t="0" r="5715" b="0"/>
            <wp:docPr id="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551"/>
                    <a:stretch>
                      <a:fillRect/>
                    </a:stretch>
                  </pic:blipFill>
                  <pic:spPr bwMode="auto">
                    <a:xfrm>
                      <a:off x="0" y="0"/>
                      <a:ext cx="2718435" cy="2028190"/>
                    </a:xfrm>
                    <a:prstGeom prst="rect">
                      <a:avLst/>
                    </a:prstGeom>
                    <a:noFill/>
                    <a:ln>
                      <a:noFill/>
                    </a:ln>
                  </pic:spPr>
                </pic:pic>
              </a:graphicData>
            </a:graphic>
          </wp:inline>
        </w:drawing>
      </w:r>
    </w:p>
    <w:p w:rsidR="00342CB3" w:rsidRDefault="00342CB3" w:rsidP="00342CB3">
      <w:pPr>
        <w:jc w:val="center"/>
        <w:rPr>
          <w:rFonts w:ascii="Arial" w:hAnsi="Arial" w:cs="Arial"/>
          <w:snapToGrid w:val="0"/>
          <w:color w:val="000000"/>
          <w:sz w:val="16"/>
          <w:szCs w:val="16"/>
        </w:rPr>
      </w:pPr>
      <w:r>
        <w:rPr>
          <w:rFonts w:ascii="Arial" w:hAnsi="Arial" w:cs="Arial"/>
          <w:b/>
          <w:sz w:val="16"/>
        </w:rPr>
        <w:t>Figura 2</w:t>
      </w:r>
      <w:bookmarkStart w:id="0" w:name="_GoBack"/>
      <w:bookmarkEnd w:id="0"/>
      <w:r>
        <w:rPr>
          <w:rFonts w:ascii="Arial" w:hAnsi="Arial" w:cs="Arial"/>
          <w:sz w:val="16"/>
        </w:rPr>
        <w:t xml:space="preserve">. </w:t>
      </w:r>
      <w:r w:rsidRPr="00E7013F">
        <w:rPr>
          <w:rFonts w:ascii="Arial" w:hAnsi="Arial" w:cs="Arial"/>
          <w:snapToGrid w:val="0"/>
          <w:color w:val="000000"/>
          <w:sz w:val="16"/>
          <w:szCs w:val="16"/>
        </w:rPr>
        <w:t>Gráficos de IH e IC em função da dose máxima, D2%, para tratamentos de próstata utilizando feixe de fótons com energia de 6MV. Esta dose corresponde ao valor mais alto da distribuição de dose no PTV e, portanto, é bastante próximo ao valor de dose de prescrição</w:t>
      </w:r>
      <w:r>
        <w:rPr>
          <w:rFonts w:ascii="Arial" w:hAnsi="Arial" w:cs="Arial"/>
          <w:snapToGrid w:val="0"/>
          <w:color w:val="000000"/>
          <w:sz w:val="16"/>
          <w:szCs w:val="16"/>
        </w:rPr>
        <w:t>.</w:t>
      </w:r>
    </w:p>
    <w:p w:rsidR="00342CB3" w:rsidRDefault="00342CB3" w:rsidP="00342CB3">
      <w:pPr>
        <w:rPr>
          <w:rFonts w:ascii="Arial" w:hAnsi="Arial" w:cs="Arial"/>
          <w:snapToGrid w:val="0"/>
          <w:color w:val="000000"/>
          <w:sz w:val="16"/>
          <w:szCs w:val="16"/>
        </w:rPr>
      </w:pPr>
    </w:p>
    <w:p w:rsidR="00342CB3" w:rsidRPr="00E54FD3" w:rsidRDefault="00342CB3" w:rsidP="00342CB3">
      <w:pPr>
        <w:ind w:firstLine="187"/>
        <w:jc w:val="both"/>
        <w:rPr>
          <w:rFonts w:ascii="Arial" w:hAnsi="Arial" w:cs="Arial"/>
          <w:snapToGrid w:val="0"/>
          <w:color w:val="000000"/>
          <w:sz w:val="20"/>
          <w:szCs w:val="20"/>
        </w:rPr>
      </w:pPr>
      <w:r w:rsidRPr="00E54FD3">
        <w:rPr>
          <w:rFonts w:ascii="Arial" w:hAnsi="Arial" w:cs="Arial"/>
          <w:snapToGrid w:val="0"/>
          <w:color w:val="000000"/>
          <w:sz w:val="20"/>
          <w:szCs w:val="20"/>
        </w:rPr>
        <w:t xml:space="preserve">Tomando-se como base os níveis de homogeneidade de planejamentos em 3D-CRT, para os quais os valores máximos aceitáveis, segundo a ICRU 83, são de que o PTV deve se situar entre as curvas de 95% e 107%, pode-se ver na Figura 1 que existe um número considerável de casos </w:t>
      </w:r>
      <w:r>
        <w:rPr>
          <w:rFonts w:ascii="Arial" w:hAnsi="Arial" w:cs="Arial"/>
          <w:snapToGrid w:val="0"/>
          <w:color w:val="000000"/>
          <w:sz w:val="20"/>
          <w:szCs w:val="20"/>
        </w:rPr>
        <w:t xml:space="preserve">nos quais </w:t>
      </w:r>
      <w:r w:rsidRPr="00E54FD3">
        <w:rPr>
          <w:rFonts w:ascii="Arial" w:hAnsi="Arial" w:cs="Arial"/>
          <w:snapToGrid w:val="0"/>
          <w:color w:val="000000"/>
          <w:sz w:val="20"/>
          <w:szCs w:val="20"/>
        </w:rPr>
        <w:t xml:space="preserve">os </w:t>
      </w:r>
      <w:proofErr w:type="spellStart"/>
      <w:r w:rsidRPr="00E54FD3">
        <w:rPr>
          <w:rFonts w:ascii="Arial" w:hAnsi="Arial" w:cs="Arial"/>
          <w:snapToGrid w:val="0"/>
          <w:color w:val="000000"/>
          <w:sz w:val="20"/>
          <w:szCs w:val="20"/>
        </w:rPr>
        <w:t>IH’s</w:t>
      </w:r>
      <w:proofErr w:type="spellEnd"/>
      <w:r w:rsidRPr="00E54FD3">
        <w:rPr>
          <w:rFonts w:ascii="Arial" w:hAnsi="Arial" w:cs="Arial"/>
          <w:snapToGrid w:val="0"/>
          <w:color w:val="000000"/>
          <w:sz w:val="20"/>
          <w:szCs w:val="20"/>
        </w:rPr>
        <w:t xml:space="preserve"> obtidos não estão de acordo com o aceitável (IH foi maior do que 7%). No entanto, esta restrição para a homogeneidade da distribuição de dose em 3D-CRT perde seu valor para IMRT, pois nes</w:t>
      </w:r>
      <w:r>
        <w:rPr>
          <w:rFonts w:ascii="Arial" w:hAnsi="Arial" w:cs="Arial"/>
          <w:snapToGrid w:val="0"/>
          <w:color w:val="000000"/>
          <w:sz w:val="20"/>
          <w:szCs w:val="20"/>
        </w:rPr>
        <w:t>s</w:t>
      </w:r>
      <w:r w:rsidRPr="00E54FD3">
        <w:rPr>
          <w:rFonts w:ascii="Arial" w:hAnsi="Arial" w:cs="Arial"/>
          <w:snapToGrid w:val="0"/>
          <w:color w:val="000000"/>
          <w:sz w:val="20"/>
          <w:szCs w:val="20"/>
        </w:rPr>
        <w:t>e caso</w:t>
      </w:r>
      <w:r>
        <w:rPr>
          <w:rFonts w:ascii="Arial" w:hAnsi="Arial" w:cs="Arial"/>
          <w:snapToGrid w:val="0"/>
          <w:color w:val="000000"/>
          <w:sz w:val="20"/>
          <w:szCs w:val="20"/>
        </w:rPr>
        <w:t>,</w:t>
      </w:r>
      <w:r w:rsidRPr="00E54FD3">
        <w:rPr>
          <w:rFonts w:ascii="Arial" w:hAnsi="Arial" w:cs="Arial"/>
          <w:snapToGrid w:val="0"/>
          <w:color w:val="000000"/>
          <w:sz w:val="20"/>
          <w:szCs w:val="20"/>
        </w:rPr>
        <w:t xml:space="preserve"> </w:t>
      </w:r>
      <w:proofErr w:type="gramStart"/>
      <w:r w:rsidRPr="00E54FD3">
        <w:rPr>
          <w:rFonts w:ascii="Arial" w:hAnsi="Arial" w:cs="Arial"/>
          <w:snapToGrid w:val="0"/>
          <w:color w:val="000000"/>
          <w:sz w:val="20"/>
          <w:szCs w:val="20"/>
        </w:rPr>
        <w:t>pode-se</w:t>
      </w:r>
      <w:proofErr w:type="gramEnd"/>
      <w:r w:rsidRPr="00E54FD3">
        <w:rPr>
          <w:rFonts w:ascii="Arial" w:hAnsi="Arial" w:cs="Arial"/>
          <w:snapToGrid w:val="0"/>
          <w:color w:val="000000"/>
          <w:sz w:val="20"/>
          <w:szCs w:val="20"/>
        </w:rPr>
        <w:t xml:space="preserve"> deixar intencionalmente algumas regiões com dose mais elevada, de forma a preservar os órgãos de risco e melhorar a qualidade do tratamento.</w:t>
      </w:r>
    </w:p>
    <w:p w:rsidR="00342CB3" w:rsidRPr="00E54FD3" w:rsidRDefault="00342CB3" w:rsidP="00342CB3">
      <w:pPr>
        <w:ind w:firstLine="187"/>
        <w:jc w:val="both"/>
        <w:rPr>
          <w:rFonts w:ascii="Arial" w:hAnsi="Arial" w:cs="Arial"/>
          <w:snapToGrid w:val="0"/>
          <w:color w:val="000000"/>
          <w:sz w:val="20"/>
          <w:szCs w:val="20"/>
        </w:rPr>
      </w:pPr>
      <w:r w:rsidRPr="00E54FD3">
        <w:rPr>
          <w:rFonts w:ascii="Arial" w:hAnsi="Arial" w:cs="Arial"/>
          <w:snapToGrid w:val="0"/>
          <w:color w:val="000000"/>
          <w:sz w:val="20"/>
          <w:szCs w:val="20"/>
        </w:rPr>
        <w:t xml:space="preserve">Quanto à conformidade, a ICRU 83 não estabelece valores máximos e mínimos de IC. Mas, pode-se verificar que o valor obtido para a média de IC é próximo de uma unidade, indicando que a conformação da distribuição de dose nos tratamentos de próstata com IMRT está de acordo com o recomendado. Podemos salientar que em apenas </w:t>
      </w:r>
      <w:proofErr w:type="gramStart"/>
      <w:r w:rsidRPr="00E54FD3">
        <w:rPr>
          <w:rFonts w:ascii="Arial" w:hAnsi="Arial" w:cs="Arial"/>
          <w:snapToGrid w:val="0"/>
          <w:color w:val="000000"/>
          <w:sz w:val="20"/>
          <w:szCs w:val="20"/>
        </w:rPr>
        <w:t>6</w:t>
      </w:r>
      <w:proofErr w:type="gramEnd"/>
      <w:r w:rsidRPr="00E54FD3">
        <w:rPr>
          <w:rFonts w:ascii="Arial" w:hAnsi="Arial" w:cs="Arial"/>
          <w:snapToGrid w:val="0"/>
          <w:color w:val="000000"/>
          <w:sz w:val="20"/>
          <w:szCs w:val="20"/>
        </w:rPr>
        <w:t xml:space="preserve"> casos o IC esteve com uma diferença maior que ±5% do valor ideal. Isto indica que </w:t>
      </w:r>
      <w:r w:rsidRPr="00E54FD3">
        <w:rPr>
          <w:rFonts w:ascii="Arial" w:hAnsi="Arial" w:cs="Arial"/>
          <w:snapToGrid w:val="0"/>
          <w:color w:val="000000"/>
          <w:sz w:val="20"/>
          <w:szCs w:val="20"/>
        </w:rPr>
        <w:lastRenderedPageBreak/>
        <w:t xml:space="preserve">existem casos em que a técnica de IMRT pode não apresentar uma boa conformidade de dose, o que pode ser devido a um planejamento mais complexo, onde o PTV está em uma região com vários órgãos de risco, ou devido </w:t>
      </w:r>
      <w:proofErr w:type="gramStart"/>
      <w:r w:rsidRPr="00E54FD3">
        <w:rPr>
          <w:rFonts w:ascii="Arial" w:hAnsi="Arial" w:cs="Arial"/>
          <w:snapToGrid w:val="0"/>
          <w:color w:val="000000"/>
          <w:sz w:val="20"/>
          <w:szCs w:val="20"/>
        </w:rPr>
        <w:t>a</w:t>
      </w:r>
      <w:proofErr w:type="gramEnd"/>
      <w:r w:rsidRPr="00E54FD3">
        <w:rPr>
          <w:rFonts w:ascii="Arial" w:hAnsi="Arial" w:cs="Arial"/>
          <w:snapToGrid w:val="0"/>
          <w:color w:val="000000"/>
          <w:sz w:val="20"/>
          <w:szCs w:val="20"/>
        </w:rPr>
        <w:t xml:space="preserve"> anatomia do paciente. Não obstante, os dados obtidos mostram que em 82,4% dos casos o IC apresentou uma diferença menor do que ±5% do valor ideal.</w:t>
      </w:r>
    </w:p>
    <w:p w:rsidR="00342CB3" w:rsidRPr="00E54FD3" w:rsidRDefault="00342CB3" w:rsidP="00342CB3">
      <w:pPr>
        <w:ind w:firstLine="187"/>
        <w:jc w:val="both"/>
        <w:rPr>
          <w:rFonts w:ascii="Arial" w:hAnsi="Arial" w:cs="Arial"/>
          <w:snapToGrid w:val="0"/>
          <w:color w:val="000000"/>
          <w:sz w:val="20"/>
          <w:szCs w:val="20"/>
        </w:rPr>
      </w:pPr>
      <w:r w:rsidRPr="00E54FD3">
        <w:rPr>
          <w:rFonts w:ascii="Arial" w:hAnsi="Arial" w:cs="Arial"/>
          <w:snapToGrid w:val="0"/>
          <w:color w:val="000000"/>
          <w:sz w:val="20"/>
          <w:szCs w:val="20"/>
        </w:rPr>
        <w:t>Pode-se perceber que não é possível estabelecer uma correlação entre a dose prescrita e os índices IH e IC, como sugerem os gráficos da Figura 2, de modo que se pode considerar que a homogeneidade da distribuição de dose varia entre 3,8% e 12%</w:t>
      </w:r>
      <w:r>
        <w:rPr>
          <w:rFonts w:ascii="Arial" w:hAnsi="Arial" w:cs="Arial"/>
          <w:snapToGrid w:val="0"/>
          <w:color w:val="000000"/>
          <w:sz w:val="20"/>
          <w:szCs w:val="20"/>
        </w:rPr>
        <w:t>,</w:t>
      </w:r>
      <w:r w:rsidRPr="00E54FD3">
        <w:rPr>
          <w:rFonts w:ascii="Arial" w:hAnsi="Arial" w:cs="Arial"/>
          <w:snapToGrid w:val="0"/>
          <w:color w:val="000000"/>
          <w:sz w:val="20"/>
          <w:szCs w:val="20"/>
        </w:rPr>
        <w:t xml:space="preserve"> sem dependência com a dose de prescrição. Isto sugere que a técnica de IMRT pode apresentar uma excelente uniformidade quanto à distribuição de dose no volume alvo, mesmo para altas doses de prescrição. A mesma análise é válida para o caso do índice de conformidade. Pode-se dizer que, em relação à dose de prescrição, os valores de IC variaram entre 0,89 e 1,2, sem dependência com a dose.</w:t>
      </w:r>
    </w:p>
    <w:p w:rsidR="00342CB3" w:rsidRPr="006F4798" w:rsidRDefault="00342CB3" w:rsidP="00342CB3">
      <w:pPr>
        <w:ind w:firstLine="187"/>
        <w:jc w:val="both"/>
        <w:rPr>
          <w:rFonts w:ascii="Arial" w:hAnsi="Arial" w:cs="Arial"/>
          <w:sz w:val="20"/>
        </w:rPr>
      </w:pPr>
      <w:r w:rsidRPr="00E54FD3">
        <w:rPr>
          <w:rFonts w:ascii="Arial" w:hAnsi="Arial" w:cs="Arial"/>
          <w:snapToGrid w:val="0"/>
          <w:color w:val="000000"/>
          <w:sz w:val="20"/>
          <w:szCs w:val="20"/>
        </w:rPr>
        <w:t>É importante salientar que foram avaliados apenas planejamentos para feixe de fótons com energia de 6MV. No entanto, é bastante provável que os resultados de análises com outras energias seriam similares, como anali</w:t>
      </w:r>
      <w:r>
        <w:rPr>
          <w:rFonts w:ascii="Arial" w:hAnsi="Arial" w:cs="Arial"/>
          <w:snapToGrid w:val="0"/>
          <w:color w:val="000000"/>
          <w:sz w:val="20"/>
          <w:szCs w:val="20"/>
        </w:rPr>
        <w:t xml:space="preserve">sado por Guimarães </w:t>
      </w:r>
      <w:proofErr w:type="spellStart"/>
      <w:proofErr w:type="gramStart"/>
      <w:r>
        <w:rPr>
          <w:rFonts w:ascii="Arial" w:hAnsi="Arial" w:cs="Arial"/>
          <w:snapToGrid w:val="0"/>
          <w:color w:val="000000"/>
          <w:sz w:val="20"/>
          <w:szCs w:val="20"/>
        </w:rPr>
        <w:t>et</w:t>
      </w:r>
      <w:proofErr w:type="spellEnd"/>
      <w:proofErr w:type="gramEnd"/>
      <w:r>
        <w:rPr>
          <w:rFonts w:ascii="Arial" w:hAnsi="Arial" w:cs="Arial"/>
          <w:snapToGrid w:val="0"/>
          <w:color w:val="000000"/>
          <w:sz w:val="20"/>
          <w:szCs w:val="20"/>
        </w:rPr>
        <w:t xml:space="preserve"> al</w:t>
      </w:r>
      <w:r>
        <w:rPr>
          <w:rFonts w:ascii="Arial" w:hAnsi="Arial" w:cs="Arial"/>
          <w:snapToGrid w:val="0"/>
          <w:color w:val="000000"/>
          <w:sz w:val="20"/>
          <w:szCs w:val="20"/>
          <w:vertAlign w:val="superscript"/>
        </w:rPr>
        <w:t>2</w:t>
      </w:r>
      <w:r w:rsidRPr="00E54FD3">
        <w:rPr>
          <w:rFonts w:ascii="Arial" w:hAnsi="Arial" w:cs="Arial"/>
          <w:snapToGrid w:val="0"/>
          <w:color w:val="000000"/>
          <w:sz w:val="20"/>
          <w:szCs w:val="20"/>
        </w:rPr>
        <w:t>.</w:t>
      </w:r>
    </w:p>
    <w:p w:rsidR="00342CB3" w:rsidRDefault="00342CB3" w:rsidP="005F3B4A">
      <w:pPr>
        <w:jc w:val="both"/>
        <w:rPr>
          <w:rFonts w:ascii="Arial" w:hAnsi="Arial" w:cs="Arial"/>
          <w:b/>
          <w:bCs/>
          <w:sz w:val="20"/>
        </w:rPr>
      </w:pPr>
    </w:p>
    <w:p w:rsidR="00221E85" w:rsidRDefault="0096653A" w:rsidP="005F3B4A">
      <w:pPr>
        <w:jc w:val="both"/>
        <w:rPr>
          <w:rFonts w:ascii="Arial" w:hAnsi="Arial" w:cs="Arial"/>
          <w:b/>
          <w:bCs/>
          <w:sz w:val="20"/>
        </w:rPr>
      </w:pPr>
      <w:r>
        <w:rPr>
          <w:rFonts w:ascii="Arial" w:hAnsi="Arial" w:cs="Arial"/>
          <w:b/>
          <w:bCs/>
          <w:sz w:val="20"/>
        </w:rPr>
        <w:t>4. Discussão</w:t>
      </w:r>
      <w:r w:rsidR="00342CB3">
        <w:rPr>
          <w:rFonts w:ascii="Arial" w:hAnsi="Arial" w:cs="Arial"/>
          <w:b/>
          <w:bCs/>
          <w:sz w:val="20"/>
        </w:rPr>
        <w:t xml:space="preserve"> e Conclusão</w:t>
      </w:r>
    </w:p>
    <w:p w:rsidR="00342CB3" w:rsidRPr="00E54FD3" w:rsidRDefault="00342CB3" w:rsidP="00342CB3">
      <w:pPr>
        <w:ind w:firstLine="187"/>
        <w:jc w:val="both"/>
        <w:rPr>
          <w:rFonts w:ascii="Arial" w:hAnsi="Arial" w:cs="Arial"/>
          <w:sz w:val="20"/>
          <w:szCs w:val="20"/>
        </w:rPr>
      </w:pPr>
      <w:r w:rsidRPr="00E54FD3">
        <w:rPr>
          <w:rFonts w:ascii="Arial" w:hAnsi="Arial" w:cs="Arial"/>
          <w:sz w:val="20"/>
          <w:szCs w:val="20"/>
        </w:rPr>
        <w:t xml:space="preserve">Neste trabalho, foram avaliados dois índices estatísticos importantes que definem a qualidade de um tratamento de radioterapia com a técnica de IMRT. Os resultados obtidos </w:t>
      </w:r>
      <w:r>
        <w:rPr>
          <w:rFonts w:ascii="Arial" w:hAnsi="Arial" w:cs="Arial"/>
          <w:sz w:val="20"/>
          <w:szCs w:val="20"/>
        </w:rPr>
        <w:t>mostraram que</w:t>
      </w:r>
      <w:r w:rsidRPr="00E54FD3">
        <w:rPr>
          <w:rFonts w:ascii="Arial" w:hAnsi="Arial" w:cs="Arial"/>
          <w:sz w:val="20"/>
          <w:szCs w:val="20"/>
        </w:rPr>
        <w:t xml:space="preserve"> os planejamentos de radioterapia realizados com IMRT realmente apresentam distribuições de </w:t>
      </w:r>
      <w:proofErr w:type="spellStart"/>
      <w:r w:rsidRPr="00E54FD3">
        <w:rPr>
          <w:rFonts w:ascii="Arial" w:hAnsi="Arial" w:cs="Arial"/>
          <w:sz w:val="20"/>
          <w:szCs w:val="20"/>
        </w:rPr>
        <w:t>IH’s</w:t>
      </w:r>
      <w:proofErr w:type="spellEnd"/>
      <w:r w:rsidRPr="00E54FD3">
        <w:rPr>
          <w:rFonts w:ascii="Arial" w:hAnsi="Arial" w:cs="Arial"/>
          <w:sz w:val="20"/>
          <w:szCs w:val="20"/>
        </w:rPr>
        <w:t xml:space="preserve"> com média suficientemente próxima de zero (88,2% dos casos com diferença menor do que ±5% do valor ideal) e distribuições de </w:t>
      </w:r>
      <w:proofErr w:type="spellStart"/>
      <w:r w:rsidRPr="00E54FD3">
        <w:rPr>
          <w:rFonts w:ascii="Arial" w:hAnsi="Arial" w:cs="Arial"/>
          <w:sz w:val="20"/>
          <w:szCs w:val="20"/>
        </w:rPr>
        <w:t>IC’s</w:t>
      </w:r>
      <w:proofErr w:type="spellEnd"/>
      <w:r w:rsidRPr="00E54FD3">
        <w:rPr>
          <w:rFonts w:ascii="Arial" w:hAnsi="Arial" w:cs="Arial"/>
          <w:sz w:val="20"/>
          <w:szCs w:val="20"/>
        </w:rPr>
        <w:t xml:space="preserve"> com média próxima de uma unidade (82,4% dos casos com diferença menor do que ±5% do valor ideal).</w:t>
      </w:r>
    </w:p>
    <w:p w:rsidR="00342CB3" w:rsidRDefault="00342CB3" w:rsidP="00342CB3">
      <w:pPr>
        <w:ind w:firstLine="187"/>
        <w:jc w:val="both"/>
        <w:rPr>
          <w:rFonts w:ascii="Arial" w:hAnsi="Arial" w:cs="Arial"/>
          <w:sz w:val="20"/>
        </w:rPr>
      </w:pPr>
      <w:r w:rsidRPr="00E54FD3">
        <w:rPr>
          <w:rFonts w:ascii="Arial" w:hAnsi="Arial" w:cs="Arial"/>
          <w:sz w:val="20"/>
          <w:szCs w:val="20"/>
        </w:rPr>
        <w:t xml:space="preserve">Além disso, foi possível comparar os planejamentos para tratamentos de tumores de próstata realizados no Hospital São Lucas da PUCRS com a norma internacional ICRU 83. Com esta comparação, pode-se afirmar que os planejamentos apresentam os resultados esperados para a técnica de </w:t>
      </w:r>
      <w:proofErr w:type="gramStart"/>
      <w:r w:rsidRPr="00E54FD3">
        <w:rPr>
          <w:rFonts w:ascii="Arial" w:hAnsi="Arial" w:cs="Arial"/>
          <w:sz w:val="20"/>
          <w:szCs w:val="20"/>
        </w:rPr>
        <w:t>IMRT</w:t>
      </w:r>
      <w:r>
        <w:rPr>
          <w:rFonts w:ascii="Arial" w:hAnsi="Arial" w:cs="Arial"/>
          <w:sz w:val="20"/>
          <w:szCs w:val="20"/>
          <w:vertAlign w:val="superscript"/>
        </w:rPr>
        <w:t>3,</w:t>
      </w:r>
      <w:proofErr w:type="gramEnd"/>
      <w:r>
        <w:rPr>
          <w:rFonts w:ascii="Arial" w:hAnsi="Arial" w:cs="Arial"/>
          <w:sz w:val="20"/>
          <w:szCs w:val="20"/>
          <w:vertAlign w:val="superscript"/>
        </w:rPr>
        <w:t>4,6</w:t>
      </w:r>
      <w:r w:rsidRPr="00E54FD3">
        <w:rPr>
          <w:rFonts w:ascii="Arial" w:hAnsi="Arial" w:cs="Arial"/>
          <w:sz w:val="20"/>
          <w:szCs w:val="20"/>
        </w:rPr>
        <w:t>.</w:t>
      </w:r>
    </w:p>
    <w:p w:rsidR="00221E85" w:rsidRDefault="00221E85" w:rsidP="005F3B4A">
      <w:pPr>
        <w:jc w:val="both"/>
        <w:rPr>
          <w:rFonts w:ascii="Arial" w:hAnsi="Arial" w:cs="Arial"/>
          <w:sz w:val="20"/>
        </w:rPr>
      </w:pPr>
    </w:p>
    <w:p w:rsidR="00221E85" w:rsidRDefault="00221E85" w:rsidP="005F3B4A">
      <w:pPr>
        <w:jc w:val="both"/>
        <w:rPr>
          <w:rFonts w:ascii="Arial" w:hAnsi="Arial" w:cs="Arial"/>
          <w:sz w:val="20"/>
        </w:rPr>
      </w:pPr>
      <w:r>
        <w:rPr>
          <w:rFonts w:ascii="Arial" w:hAnsi="Arial" w:cs="Arial"/>
          <w:b/>
          <w:bCs/>
          <w:sz w:val="20"/>
        </w:rPr>
        <w:t>Referências</w:t>
      </w:r>
    </w:p>
    <w:p w:rsidR="00342CB3" w:rsidRPr="00842A1E" w:rsidRDefault="00342CB3" w:rsidP="00342CB3">
      <w:pPr>
        <w:numPr>
          <w:ilvl w:val="0"/>
          <w:numId w:val="1"/>
        </w:numPr>
        <w:tabs>
          <w:tab w:val="clear" w:pos="720"/>
          <w:tab w:val="num" w:pos="187"/>
        </w:tabs>
        <w:ind w:left="187" w:hanging="187"/>
        <w:jc w:val="both"/>
        <w:rPr>
          <w:rFonts w:ascii="Arial" w:hAnsi="Arial" w:cs="Arial"/>
          <w:sz w:val="16"/>
        </w:rPr>
      </w:pPr>
      <w:r>
        <w:rPr>
          <w:rFonts w:ascii="Arial" w:hAnsi="Arial" w:cs="Arial"/>
          <w:sz w:val="16"/>
        </w:rPr>
        <w:t>Instituto Nacional do Câncer – INCA. Estimativa 2012: Incidência de Câncer no Brasil. INCA. Disponível em: http://www.inca.gov.br/estimativa/2012/index.asp? ID=1.</w:t>
      </w:r>
    </w:p>
    <w:p w:rsidR="00342CB3" w:rsidRDefault="00342CB3" w:rsidP="00342CB3">
      <w:pPr>
        <w:numPr>
          <w:ilvl w:val="0"/>
          <w:numId w:val="1"/>
        </w:numPr>
        <w:tabs>
          <w:tab w:val="clear" w:pos="720"/>
          <w:tab w:val="num" w:pos="187"/>
        </w:tabs>
        <w:ind w:left="187" w:hanging="187"/>
        <w:jc w:val="both"/>
        <w:rPr>
          <w:rFonts w:ascii="Arial" w:hAnsi="Arial" w:cs="Arial"/>
          <w:sz w:val="16"/>
        </w:rPr>
      </w:pPr>
      <w:r w:rsidRPr="00842A1E">
        <w:rPr>
          <w:rFonts w:ascii="Arial" w:hAnsi="Arial" w:cs="Arial"/>
          <w:sz w:val="16"/>
        </w:rPr>
        <w:t>Guimarães, L. F. C.; da Silva, M. C.; Silveira, P. J</w:t>
      </w:r>
      <w:proofErr w:type="gramStart"/>
      <w:r w:rsidRPr="00842A1E">
        <w:rPr>
          <w:rFonts w:ascii="Arial" w:hAnsi="Arial" w:cs="Arial"/>
          <w:sz w:val="16"/>
        </w:rPr>
        <w:t>.,</w:t>
      </w:r>
      <w:proofErr w:type="gramEnd"/>
      <w:r w:rsidRPr="00842A1E">
        <w:rPr>
          <w:rFonts w:ascii="Arial" w:hAnsi="Arial" w:cs="Arial"/>
          <w:sz w:val="16"/>
        </w:rPr>
        <w:t xml:space="preserve"> </w:t>
      </w:r>
      <w:proofErr w:type="spellStart"/>
      <w:r w:rsidRPr="00842A1E">
        <w:rPr>
          <w:rFonts w:ascii="Arial" w:hAnsi="Arial" w:cs="Arial"/>
          <w:sz w:val="16"/>
        </w:rPr>
        <w:t>Flosi</w:t>
      </w:r>
      <w:proofErr w:type="spellEnd"/>
      <w:r w:rsidRPr="00842A1E">
        <w:rPr>
          <w:rFonts w:ascii="Arial" w:hAnsi="Arial" w:cs="Arial"/>
          <w:sz w:val="16"/>
        </w:rPr>
        <w:t xml:space="preserve">; A. A., </w:t>
      </w:r>
      <w:proofErr w:type="spellStart"/>
      <w:r w:rsidRPr="00842A1E">
        <w:rPr>
          <w:rFonts w:ascii="Arial" w:hAnsi="Arial" w:cs="Arial"/>
          <w:sz w:val="16"/>
        </w:rPr>
        <w:t>Boccaletti</w:t>
      </w:r>
      <w:proofErr w:type="spellEnd"/>
      <w:r w:rsidRPr="00842A1E">
        <w:rPr>
          <w:rFonts w:ascii="Arial" w:hAnsi="Arial" w:cs="Arial"/>
          <w:sz w:val="16"/>
        </w:rPr>
        <w:t xml:space="preserve">, K. W. Avaliação de planejamentos de IMRT para tratamento de próstata utilizando energias de </w:t>
      </w:r>
      <w:proofErr w:type="gramStart"/>
      <w:r w:rsidRPr="00842A1E">
        <w:rPr>
          <w:rFonts w:ascii="Arial" w:hAnsi="Arial" w:cs="Arial"/>
          <w:sz w:val="16"/>
        </w:rPr>
        <w:t>6MeV</w:t>
      </w:r>
      <w:proofErr w:type="gramEnd"/>
      <w:r w:rsidRPr="00842A1E">
        <w:rPr>
          <w:rFonts w:ascii="Arial" w:hAnsi="Arial" w:cs="Arial"/>
          <w:sz w:val="16"/>
        </w:rPr>
        <w:t xml:space="preserve"> e 15MeV. Revista Brasileira de Física Médica. 2013; 7(2): 53-6</w:t>
      </w:r>
      <w:r>
        <w:rPr>
          <w:rFonts w:ascii="Arial" w:hAnsi="Arial" w:cs="Arial"/>
          <w:sz w:val="16"/>
        </w:rPr>
        <w:t>.</w:t>
      </w:r>
    </w:p>
    <w:p w:rsidR="00342CB3" w:rsidRDefault="00342CB3" w:rsidP="00342CB3">
      <w:pPr>
        <w:numPr>
          <w:ilvl w:val="0"/>
          <w:numId w:val="1"/>
        </w:numPr>
        <w:tabs>
          <w:tab w:val="clear" w:pos="720"/>
          <w:tab w:val="num" w:pos="187"/>
        </w:tabs>
        <w:ind w:left="187" w:hanging="187"/>
        <w:jc w:val="both"/>
        <w:rPr>
          <w:rFonts w:ascii="Arial" w:hAnsi="Arial" w:cs="Arial"/>
          <w:sz w:val="16"/>
        </w:rPr>
      </w:pPr>
      <w:r w:rsidRPr="00842A1E">
        <w:rPr>
          <w:rFonts w:ascii="Arial" w:hAnsi="Arial" w:cs="Arial"/>
          <w:sz w:val="16"/>
          <w:lang w:val="en-US"/>
        </w:rPr>
        <w:t xml:space="preserve">International Commission on Radiation Units and Measurements – ICRU. ICRU Report 83: Prescribing </w:t>
      </w:r>
      <w:proofErr w:type="gramStart"/>
      <w:r w:rsidRPr="00842A1E">
        <w:rPr>
          <w:rFonts w:ascii="Arial" w:hAnsi="Arial" w:cs="Arial"/>
          <w:sz w:val="16"/>
          <w:lang w:val="en-US"/>
        </w:rPr>
        <w:t>Recording,</w:t>
      </w:r>
      <w:proofErr w:type="gramEnd"/>
      <w:r w:rsidRPr="00842A1E">
        <w:rPr>
          <w:rFonts w:ascii="Arial" w:hAnsi="Arial" w:cs="Arial"/>
          <w:sz w:val="16"/>
          <w:lang w:val="en-US"/>
        </w:rPr>
        <w:t xml:space="preserve"> and Reporting Photon-Beam Intensity-Modulated Radiation Therapy (IMRT). </w:t>
      </w:r>
      <w:r w:rsidRPr="00842A1E">
        <w:rPr>
          <w:rFonts w:ascii="Arial" w:hAnsi="Arial" w:cs="Arial"/>
          <w:sz w:val="16"/>
        </w:rPr>
        <w:t xml:space="preserve">Oxford </w:t>
      </w:r>
      <w:proofErr w:type="spellStart"/>
      <w:r w:rsidRPr="00842A1E">
        <w:rPr>
          <w:rFonts w:ascii="Arial" w:hAnsi="Arial" w:cs="Arial"/>
          <w:sz w:val="16"/>
        </w:rPr>
        <w:t>University</w:t>
      </w:r>
      <w:proofErr w:type="spellEnd"/>
      <w:r w:rsidRPr="00842A1E">
        <w:rPr>
          <w:rFonts w:ascii="Arial" w:hAnsi="Arial" w:cs="Arial"/>
          <w:sz w:val="16"/>
        </w:rPr>
        <w:t xml:space="preserve"> </w:t>
      </w:r>
      <w:proofErr w:type="spellStart"/>
      <w:r w:rsidRPr="00842A1E">
        <w:rPr>
          <w:rFonts w:ascii="Arial" w:hAnsi="Arial" w:cs="Arial"/>
          <w:sz w:val="16"/>
        </w:rPr>
        <w:t>Press</w:t>
      </w:r>
      <w:proofErr w:type="spellEnd"/>
      <w:r w:rsidRPr="00842A1E">
        <w:rPr>
          <w:rFonts w:ascii="Arial" w:hAnsi="Arial" w:cs="Arial"/>
          <w:sz w:val="16"/>
        </w:rPr>
        <w:t xml:space="preserve">. </w:t>
      </w:r>
      <w:proofErr w:type="spellStart"/>
      <w:r w:rsidRPr="00842A1E">
        <w:rPr>
          <w:rFonts w:ascii="Arial" w:hAnsi="Arial" w:cs="Arial"/>
          <w:sz w:val="16"/>
        </w:rPr>
        <w:t>Journal</w:t>
      </w:r>
      <w:proofErr w:type="spellEnd"/>
      <w:r w:rsidRPr="00842A1E">
        <w:rPr>
          <w:rFonts w:ascii="Arial" w:hAnsi="Arial" w:cs="Arial"/>
          <w:sz w:val="16"/>
        </w:rPr>
        <w:t xml:space="preserve"> </w:t>
      </w:r>
      <w:proofErr w:type="spellStart"/>
      <w:r w:rsidRPr="00842A1E">
        <w:rPr>
          <w:rFonts w:ascii="Arial" w:hAnsi="Arial" w:cs="Arial"/>
          <w:sz w:val="16"/>
        </w:rPr>
        <w:t>of</w:t>
      </w:r>
      <w:proofErr w:type="spellEnd"/>
      <w:r w:rsidRPr="00842A1E">
        <w:rPr>
          <w:rFonts w:ascii="Arial" w:hAnsi="Arial" w:cs="Arial"/>
          <w:sz w:val="16"/>
        </w:rPr>
        <w:t xml:space="preserve"> </w:t>
      </w:r>
      <w:proofErr w:type="spellStart"/>
      <w:r w:rsidRPr="00842A1E">
        <w:rPr>
          <w:rFonts w:ascii="Arial" w:hAnsi="Arial" w:cs="Arial"/>
          <w:sz w:val="16"/>
        </w:rPr>
        <w:t>the</w:t>
      </w:r>
      <w:proofErr w:type="spellEnd"/>
      <w:r w:rsidRPr="00842A1E">
        <w:rPr>
          <w:rFonts w:ascii="Arial" w:hAnsi="Arial" w:cs="Arial"/>
          <w:sz w:val="16"/>
        </w:rPr>
        <w:t xml:space="preserve"> ICRU. 2010</w:t>
      </w:r>
      <w:r>
        <w:rPr>
          <w:rFonts w:ascii="Arial" w:hAnsi="Arial" w:cs="Arial"/>
          <w:sz w:val="16"/>
        </w:rPr>
        <w:t>.</w:t>
      </w:r>
    </w:p>
    <w:p w:rsidR="00342CB3" w:rsidRDefault="00342CB3" w:rsidP="00342CB3">
      <w:pPr>
        <w:numPr>
          <w:ilvl w:val="0"/>
          <w:numId w:val="1"/>
        </w:numPr>
        <w:tabs>
          <w:tab w:val="clear" w:pos="720"/>
          <w:tab w:val="num" w:pos="187"/>
        </w:tabs>
        <w:ind w:left="187" w:hanging="187"/>
        <w:jc w:val="both"/>
        <w:rPr>
          <w:rFonts w:ascii="Arial" w:hAnsi="Arial" w:cs="Arial"/>
          <w:sz w:val="16"/>
        </w:rPr>
      </w:pPr>
      <w:r w:rsidRPr="00842A1E">
        <w:rPr>
          <w:rFonts w:ascii="Arial" w:hAnsi="Arial" w:cs="Arial"/>
          <w:sz w:val="16"/>
        </w:rPr>
        <w:t xml:space="preserve">Almeida CE. Bases Físicas de um programa de garantia da qualidade em IMRT. São </w:t>
      </w:r>
      <w:proofErr w:type="spellStart"/>
      <w:r w:rsidRPr="00842A1E">
        <w:rPr>
          <w:rFonts w:ascii="Arial" w:hAnsi="Arial" w:cs="Arial"/>
          <w:sz w:val="16"/>
        </w:rPr>
        <w:t>Pualo</w:t>
      </w:r>
      <w:proofErr w:type="spellEnd"/>
      <w:r w:rsidRPr="00842A1E">
        <w:rPr>
          <w:rFonts w:ascii="Arial" w:hAnsi="Arial" w:cs="Arial"/>
          <w:sz w:val="16"/>
        </w:rPr>
        <w:t>: Editora Científica; 2006.</w:t>
      </w:r>
    </w:p>
    <w:p w:rsidR="00342CB3" w:rsidRDefault="00342CB3" w:rsidP="00342CB3">
      <w:pPr>
        <w:numPr>
          <w:ilvl w:val="0"/>
          <w:numId w:val="1"/>
        </w:numPr>
        <w:tabs>
          <w:tab w:val="clear" w:pos="720"/>
          <w:tab w:val="num" w:pos="187"/>
        </w:tabs>
        <w:ind w:left="187" w:hanging="187"/>
        <w:jc w:val="both"/>
        <w:rPr>
          <w:rFonts w:ascii="Arial" w:hAnsi="Arial" w:cs="Arial"/>
          <w:sz w:val="16"/>
          <w:lang w:val="en-US"/>
        </w:rPr>
      </w:pPr>
      <w:proofErr w:type="spellStart"/>
      <w:r w:rsidRPr="00842A1E">
        <w:rPr>
          <w:rFonts w:ascii="Arial" w:hAnsi="Arial" w:cs="Arial"/>
          <w:sz w:val="16"/>
          <w:lang w:val="en-US"/>
        </w:rPr>
        <w:t>Feuvret</w:t>
      </w:r>
      <w:proofErr w:type="spellEnd"/>
      <w:r w:rsidRPr="00842A1E">
        <w:rPr>
          <w:rFonts w:ascii="Arial" w:hAnsi="Arial" w:cs="Arial"/>
          <w:sz w:val="16"/>
          <w:lang w:val="en-US"/>
        </w:rPr>
        <w:t xml:space="preserve"> L, Noël G, </w:t>
      </w:r>
      <w:proofErr w:type="spellStart"/>
      <w:r w:rsidRPr="00842A1E">
        <w:rPr>
          <w:rFonts w:ascii="Arial" w:hAnsi="Arial" w:cs="Arial"/>
          <w:sz w:val="16"/>
          <w:lang w:val="en-US"/>
        </w:rPr>
        <w:t>Mazeron</w:t>
      </w:r>
      <w:proofErr w:type="spellEnd"/>
      <w:r w:rsidRPr="00842A1E">
        <w:rPr>
          <w:rFonts w:ascii="Arial" w:hAnsi="Arial" w:cs="Arial"/>
          <w:sz w:val="16"/>
          <w:lang w:val="en-US"/>
        </w:rPr>
        <w:t xml:space="preserve"> </w:t>
      </w:r>
      <w:proofErr w:type="spellStart"/>
      <w:r w:rsidRPr="00842A1E">
        <w:rPr>
          <w:rFonts w:ascii="Arial" w:hAnsi="Arial" w:cs="Arial"/>
          <w:sz w:val="16"/>
          <w:lang w:val="en-US"/>
        </w:rPr>
        <w:t>JJ</w:t>
      </w:r>
      <w:proofErr w:type="gramStart"/>
      <w:r w:rsidRPr="00842A1E">
        <w:rPr>
          <w:rFonts w:ascii="Arial" w:hAnsi="Arial" w:cs="Arial"/>
          <w:sz w:val="16"/>
          <w:lang w:val="en-US"/>
        </w:rPr>
        <w:t>,Bey</w:t>
      </w:r>
      <w:proofErr w:type="spellEnd"/>
      <w:proofErr w:type="gramEnd"/>
      <w:r w:rsidRPr="00842A1E">
        <w:rPr>
          <w:rFonts w:ascii="Arial" w:hAnsi="Arial" w:cs="Arial"/>
          <w:sz w:val="16"/>
          <w:lang w:val="en-US"/>
        </w:rPr>
        <w:t xml:space="preserve"> P. Conformity index: a review. </w:t>
      </w:r>
      <w:proofErr w:type="spellStart"/>
      <w:r w:rsidRPr="00842A1E">
        <w:rPr>
          <w:rFonts w:ascii="Arial" w:hAnsi="Arial" w:cs="Arial"/>
          <w:sz w:val="16"/>
          <w:lang w:val="en-US"/>
        </w:rPr>
        <w:t>Int</w:t>
      </w:r>
      <w:proofErr w:type="spellEnd"/>
      <w:r w:rsidRPr="00842A1E">
        <w:rPr>
          <w:rFonts w:ascii="Arial" w:hAnsi="Arial" w:cs="Arial"/>
          <w:sz w:val="16"/>
          <w:lang w:val="en-US"/>
        </w:rPr>
        <w:t xml:space="preserve"> J </w:t>
      </w:r>
      <w:proofErr w:type="spellStart"/>
      <w:r w:rsidRPr="00842A1E">
        <w:rPr>
          <w:rFonts w:ascii="Arial" w:hAnsi="Arial" w:cs="Arial"/>
          <w:sz w:val="16"/>
          <w:lang w:val="en-US"/>
        </w:rPr>
        <w:t>Radiat</w:t>
      </w:r>
      <w:proofErr w:type="spellEnd"/>
      <w:r w:rsidRPr="00842A1E">
        <w:rPr>
          <w:rFonts w:ascii="Arial" w:hAnsi="Arial" w:cs="Arial"/>
          <w:sz w:val="16"/>
          <w:lang w:val="en-US"/>
        </w:rPr>
        <w:t xml:space="preserve"> </w:t>
      </w:r>
      <w:proofErr w:type="spellStart"/>
      <w:r w:rsidRPr="00842A1E">
        <w:rPr>
          <w:rFonts w:ascii="Arial" w:hAnsi="Arial" w:cs="Arial"/>
          <w:sz w:val="16"/>
          <w:lang w:val="en-US"/>
        </w:rPr>
        <w:t>Oncol</w:t>
      </w:r>
      <w:proofErr w:type="spellEnd"/>
      <w:r w:rsidRPr="00842A1E">
        <w:rPr>
          <w:rFonts w:ascii="Arial" w:hAnsi="Arial" w:cs="Arial"/>
          <w:sz w:val="16"/>
          <w:lang w:val="en-US"/>
        </w:rPr>
        <w:t xml:space="preserve"> </w:t>
      </w:r>
      <w:proofErr w:type="spellStart"/>
      <w:r w:rsidRPr="00842A1E">
        <w:rPr>
          <w:rFonts w:ascii="Arial" w:hAnsi="Arial" w:cs="Arial"/>
          <w:sz w:val="16"/>
          <w:lang w:val="en-US"/>
        </w:rPr>
        <w:t>Biol</w:t>
      </w:r>
      <w:proofErr w:type="spellEnd"/>
      <w:r w:rsidRPr="00842A1E">
        <w:rPr>
          <w:rFonts w:ascii="Arial" w:hAnsi="Arial" w:cs="Arial"/>
          <w:sz w:val="16"/>
          <w:lang w:val="en-US"/>
        </w:rPr>
        <w:t xml:space="preserve"> Phys. 2006 Feb 1; 64(2): 333-42.</w:t>
      </w:r>
    </w:p>
    <w:p w:rsidR="00342CB3" w:rsidRDefault="00342CB3" w:rsidP="00342CB3">
      <w:pPr>
        <w:numPr>
          <w:ilvl w:val="0"/>
          <w:numId w:val="1"/>
        </w:numPr>
        <w:tabs>
          <w:tab w:val="clear" w:pos="720"/>
          <w:tab w:val="num" w:pos="187"/>
        </w:tabs>
        <w:ind w:left="187" w:hanging="187"/>
        <w:jc w:val="both"/>
        <w:rPr>
          <w:rFonts w:ascii="Arial" w:hAnsi="Arial" w:cs="Arial"/>
          <w:sz w:val="16"/>
          <w:lang w:val="en-US"/>
        </w:rPr>
      </w:pPr>
      <w:r w:rsidRPr="00842A1E">
        <w:rPr>
          <w:rFonts w:ascii="Arial" w:hAnsi="Arial" w:cs="Arial"/>
          <w:sz w:val="16"/>
          <w:lang w:val="en-US"/>
        </w:rPr>
        <w:lastRenderedPageBreak/>
        <w:t>Khan, FM. The Physics of Radiation Therapy. 4th ed. Philadelphia, PA: Lippincott Williams &amp; Wilkins, 2010.</w:t>
      </w:r>
    </w:p>
    <w:p w:rsidR="00342CB3" w:rsidRPr="007312CA" w:rsidRDefault="00342CB3" w:rsidP="00342CB3">
      <w:pPr>
        <w:numPr>
          <w:ilvl w:val="0"/>
          <w:numId w:val="1"/>
        </w:numPr>
        <w:tabs>
          <w:tab w:val="clear" w:pos="720"/>
          <w:tab w:val="num" w:pos="187"/>
        </w:tabs>
        <w:ind w:left="187" w:hanging="187"/>
        <w:jc w:val="both"/>
        <w:rPr>
          <w:rFonts w:ascii="Arial" w:hAnsi="Arial" w:cs="Arial"/>
          <w:sz w:val="16"/>
        </w:rPr>
      </w:pPr>
      <w:r w:rsidRPr="00842A1E">
        <w:rPr>
          <w:rFonts w:ascii="Arial" w:hAnsi="Arial" w:cs="Arial"/>
          <w:sz w:val="16"/>
        </w:rPr>
        <w:t xml:space="preserve">Alves, T. M. M. T. </w:t>
      </w:r>
      <w:proofErr w:type="spellStart"/>
      <w:proofErr w:type="gramStart"/>
      <w:r w:rsidRPr="00842A1E">
        <w:rPr>
          <w:rFonts w:ascii="Arial" w:hAnsi="Arial" w:cs="Arial"/>
          <w:sz w:val="16"/>
        </w:rPr>
        <w:t>et</w:t>
      </w:r>
      <w:proofErr w:type="spellEnd"/>
      <w:proofErr w:type="gramEnd"/>
      <w:r w:rsidRPr="00842A1E">
        <w:rPr>
          <w:rFonts w:ascii="Arial" w:hAnsi="Arial" w:cs="Arial"/>
          <w:sz w:val="16"/>
        </w:rPr>
        <w:t xml:space="preserve"> al. Verificação </w:t>
      </w:r>
      <w:proofErr w:type="spellStart"/>
      <w:r w:rsidRPr="00842A1E">
        <w:rPr>
          <w:rFonts w:ascii="Arial" w:hAnsi="Arial" w:cs="Arial"/>
          <w:sz w:val="16"/>
        </w:rPr>
        <w:t>dosimétrica</w:t>
      </w:r>
      <w:proofErr w:type="spellEnd"/>
      <w:r w:rsidRPr="00842A1E">
        <w:rPr>
          <w:rFonts w:ascii="Arial" w:hAnsi="Arial" w:cs="Arial"/>
          <w:sz w:val="16"/>
        </w:rPr>
        <w:t xml:space="preserve"> de tratamentos de IMRT utilizando câmara de ionização, filme radiográfico e função gama. </w:t>
      </w:r>
      <w:r w:rsidRPr="007312CA">
        <w:rPr>
          <w:rFonts w:ascii="Arial" w:hAnsi="Arial" w:cs="Arial"/>
          <w:sz w:val="16"/>
        </w:rPr>
        <w:t xml:space="preserve">Revista Brasileira de Física Médica. </w:t>
      </w:r>
      <w:proofErr w:type="gramStart"/>
      <w:r w:rsidRPr="007312CA">
        <w:rPr>
          <w:rFonts w:ascii="Arial" w:hAnsi="Arial" w:cs="Arial"/>
          <w:sz w:val="16"/>
        </w:rPr>
        <w:t>2010;</w:t>
      </w:r>
      <w:proofErr w:type="gramEnd"/>
      <w:r w:rsidRPr="007312CA">
        <w:rPr>
          <w:rFonts w:ascii="Arial" w:hAnsi="Arial" w:cs="Arial"/>
          <w:sz w:val="16"/>
        </w:rPr>
        <w:t>4(2):15-8.</w:t>
      </w:r>
    </w:p>
    <w:p w:rsidR="00342CB3" w:rsidRPr="00842A1E" w:rsidRDefault="00342CB3" w:rsidP="00342CB3">
      <w:pPr>
        <w:numPr>
          <w:ilvl w:val="0"/>
          <w:numId w:val="1"/>
        </w:numPr>
        <w:tabs>
          <w:tab w:val="clear" w:pos="720"/>
          <w:tab w:val="num" w:pos="187"/>
        </w:tabs>
        <w:ind w:left="187" w:hanging="187"/>
        <w:jc w:val="both"/>
        <w:rPr>
          <w:rFonts w:ascii="Arial" w:hAnsi="Arial" w:cs="Arial"/>
          <w:sz w:val="16"/>
        </w:rPr>
      </w:pPr>
      <w:r w:rsidRPr="00842A1E">
        <w:rPr>
          <w:rFonts w:ascii="Arial" w:hAnsi="Arial" w:cs="Arial"/>
          <w:sz w:val="16"/>
        </w:rPr>
        <w:t xml:space="preserve">Lavor, M. Avaliação das ferramentas de controle de qualidade para pacientes submetidos ao IMRT. São Paulo: </w:t>
      </w:r>
      <w:proofErr w:type="gramStart"/>
      <w:r w:rsidRPr="00842A1E">
        <w:rPr>
          <w:rFonts w:ascii="Arial" w:hAnsi="Arial" w:cs="Arial"/>
          <w:sz w:val="16"/>
        </w:rPr>
        <w:t>IPEN -USP</w:t>
      </w:r>
      <w:proofErr w:type="gramEnd"/>
      <w:r w:rsidRPr="00842A1E">
        <w:rPr>
          <w:rFonts w:ascii="Arial" w:hAnsi="Arial" w:cs="Arial"/>
          <w:sz w:val="16"/>
        </w:rPr>
        <w:t>; 2011</w:t>
      </w:r>
      <w:r>
        <w:rPr>
          <w:rFonts w:ascii="Arial" w:hAnsi="Arial" w:cs="Arial"/>
          <w:sz w:val="16"/>
        </w:rPr>
        <w:t>.</w:t>
      </w:r>
    </w:p>
    <w:p w:rsidR="00221E85" w:rsidRDefault="00221E85" w:rsidP="005F3B4A">
      <w:pPr>
        <w:jc w:val="both"/>
        <w:rPr>
          <w:rFonts w:ascii="Arial" w:hAnsi="Arial" w:cs="Arial"/>
          <w:sz w:val="20"/>
        </w:rPr>
      </w:pPr>
    </w:p>
    <w:p w:rsidR="00221E85" w:rsidRDefault="00221E85" w:rsidP="005F3B4A">
      <w:pPr>
        <w:jc w:val="both"/>
        <w:rPr>
          <w:rFonts w:ascii="Arial" w:hAnsi="Arial" w:cs="Arial"/>
          <w:b/>
          <w:bCs/>
          <w:sz w:val="20"/>
        </w:rPr>
      </w:pPr>
      <w:r>
        <w:rPr>
          <w:rFonts w:ascii="Arial" w:hAnsi="Arial" w:cs="Arial"/>
          <w:b/>
          <w:bCs/>
          <w:sz w:val="20"/>
        </w:rPr>
        <w:t>Contato:</w:t>
      </w:r>
    </w:p>
    <w:p w:rsidR="00342CB3" w:rsidRDefault="00342CB3" w:rsidP="00342CB3">
      <w:pPr>
        <w:jc w:val="both"/>
        <w:rPr>
          <w:rFonts w:ascii="Arial" w:hAnsi="Arial" w:cs="Arial"/>
          <w:sz w:val="20"/>
        </w:rPr>
      </w:pPr>
      <w:proofErr w:type="spellStart"/>
      <w:r>
        <w:rPr>
          <w:rFonts w:ascii="Arial" w:hAnsi="Arial" w:cs="Arial"/>
          <w:sz w:val="20"/>
        </w:rPr>
        <w:t>Juliane</w:t>
      </w:r>
      <w:proofErr w:type="spellEnd"/>
      <w:r>
        <w:rPr>
          <w:rFonts w:ascii="Arial" w:hAnsi="Arial" w:cs="Arial"/>
          <w:sz w:val="20"/>
        </w:rPr>
        <w:t xml:space="preserve"> </w:t>
      </w:r>
      <w:proofErr w:type="spellStart"/>
      <w:r>
        <w:rPr>
          <w:rFonts w:ascii="Arial" w:hAnsi="Arial" w:cs="Arial"/>
          <w:sz w:val="20"/>
        </w:rPr>
        <w:t>Schossler</w:t>
      </w:r>
      <w:proofErr w:type="spellEnd"/>
      <w:r>
        <w:rPr>
          <w:rFonts w:ascii="Arial" w:hAnsi="Arial" w:cs="Arial"/>
          <w:sz w:val="20"/>
        </w:rPr>
        <w:t xml:space="preserve"> Lopes</w:t>
      </w:r>
    </w:p>
    <w:p w:rsidR="00342CB3" w:rsidRDefault="00342CB3" w:rsidP="00342CB3">
      <w:pPr>
        <w:jc w:val="both"/>
        <w:rPr>
          <w:rFonts w:ascii="Arial" w:hAnsi="Arial" w:cs="Arial"/>
          <w:i/>
          <w:iCs/>
          <w:sz w:val="20"/>
        </w:rPr>
      </w:pPr>
      <w:r>
        <w:rPr>
          <w:rFonts w:ascii="Arial" w:hAnsi="Arial" w:cs="Arial"/>
          <w:i/>
          <w:iCs/>
          <w:sz w:val="20"/>
        </w:rPr>
        <w:t>Hospital São Lucas da PUCRS – Serviço de Radioterapia</w:t>
      </w:r>
    </w:p>
    <w:p w:rsidR="00342CB3" w:rsidRDefault="00342CB3" w:rsidP="00342CB3">
      <w:pPr>
        <w:jc w:val="both"/>
        <w:rPr>
          <w:rFonts w:ascii="Arial" w:hAnsi="Arial" w:cs="Arial"/>
          <w:sz w:val="20"/>
        </w:rPr>
      </w:pPr>
      <w:r>
        <w:rPr>
          <w:rFonts w:ascii="Arial" w:hAnsi="Arial" w:cs="Arial"/>
          <w:i/>
          <w:iCs/>
          <w:sz w:val="20"/>
        </w:rPr>
        <w:t>juliane.lopes@pucrs.br</w:t>
      </w:r>
    </w:p>
    <w:p w:rsidR="00221E85" w:rsidRDefault="00221E85" w:rsidP="005F3B4A">
      <w:pPr>
        <w:jc w:val="both"/>
        <w:rPr>
          <w:rFonts w:ascii="Arial" w:hAnsi="Arial" w:cs="Arial"/>
          <w:sz w:val="20"/>
        </w:rPr>
      </w:pPr>
    </w:p>
    <w:p w:rsidR="004B6A73" w:rsidRDefault="004B6A7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p w:rsidR="006E41B3" w:rsidRDefault="006E41B3" w:rsidP="005F3B4A">
      <w:pPr>
        <w:jc w:val="both"/>
        <w:rPr>
          <w:rFonts w:ascii="Arial" w:hAnsi="Arial" w:cs="Arial"/>
          <w:sz w:val="20"/>
        </w:rPr>
      </w:pPr>
    </w:p>
    <w:sectPr w:rsidR="006E41B3" w:rsidSect="00D762D7">
      <w:headerReference w:type="even" r:id="rId14"/>
      <w:headerReference w:type="default" r:id="rId15"/>
      <w:footerReference w:type="even" r:id="rId16"/>
      <w:footerReference w:type="default" r:id="rId17"/>
      <w:type w:val="continuous"/>
      <w:pgSz w:w="11907" w:h="16840" w:code="9"/>
      <w:pgMar w:top="1106" w:right="1021" w:bottom="1021" w:left="1418" w:header="624" w:footer="624" w:gutter="0"/>
      <w:cols w:num="2" w:space="34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CD4" w:rsidRDefault="00E10CD4">
      <w:r>
        <w:separator/>
      </w:r>
    </w:p>
  </w:endnote>
  <w:endnote w:type="continuationSeparator" w:id="0">
    <w:p w:rsidR="00E10CD4" w:rsidRDefault="00E10C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itstream Vera Sans">
    <w:altName w:val="Trebuchet MS"/>
    <w:charset w:val="00"/>
    <w:family w:val="swiss"/>
    <w:pitch w:val="variable"/>
    <w:sig w:usb0="800000AF" w:usb1="1000204A"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E85" w:rsidRDefault="00221E85">
    <w:pPr>
      <w:pStyle w:val="Rodap"/>
    </w:pPr>
    <w:r>
      <w:rPr>
        <w:rFonts w:ascii="Bitstream Vera Sans" w:hAnsi="Bitstream Vera Sans"/>
        <w:i/>
        <w:iCs/>
        <w:sz w:val="16"/>
        <w:szCs w:val="22"/>
      </w:rPr>
      <w:t xml:space="preserve">2009 </w:t>
    </w:r>
    <w:r>
      <w:rPr>
        <w:rFonts w:ascii="Bitstream Vera Sans" w:hAnsi="Bitstream Vera Sans"/>
        <w:i/>
        <w:iCs/>
        <w:sz w:val="16"/>
        <w:szCs w:val="22"/>
      </w:rPr>
      <w:sym w:font="Symbol" w:char="F0D3"/>
    </w:r>
    <w:r>
      <w:rPr>
        <w:rFonts w:ascii="Bitstream Vera Sans" w:hAnsi="Bitstream Vera Sans"/>
        <w:i/>
        <w:iCs/>
        <w:sz w:val="16"/>
        <w:szCs w:val="22"/>
      </w:rPr>
      <w:t xml:space="preserve"> Associação Brasileira de Física Médica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E85" w:rsidRPr="006E41B3" w:rsidRDefault="005F3B4A">
    <w:pPr>
      <w:pStyle w:val="Rodap"/>
      <w:rPr>
        <w:rFonts w:ascii="Arial" w:hAnsi="Arial" w:cs="Arial"/>
        <w:i/>
        <w:iCs/>
        <w:sz w:val="16"/>
      </w:rPr>
    </w:pPr>
    <w:r w:rsidRPr="006E41B3">
      <w:rPr>
        <w:rFonts w:ascii="Arial" w:hAnsi="Arial" w:cs="Arial"/>
        <w:i/>
        <w:iCs/>
        <w:noProof/>
        <w:sz w:val="16"/>
        <w:szCs w:val="22"/>
      </w:rPr>
      <w:pict>
        <v:shapetype id="_x0000_t32" coordsize="21600,21600" o:spt="32" o:oned="t" path="m,l21600,21600e" filled="f">
          <v:path arrowok="t" fillok="f" o:connecttype="none"/>
          <o:lock v:ext="edit" shapetype="t"/>
        </v:shapetype>
        <v:shape id="_x0000_s2058" type="#_x0000_t32" style="position:absolute;margin-left:0;margin-top:-8.15pt;width:470.55pt;height:0;z-index:251659264" o:connectortype="straight" strokecolor="gray"/>
      </w:pict>
    </w:r>
    <w:r w:rsidR="00221E85" w:rsidRPr="006E41B3">
      <w:rPr>
        <w:rFonts w:ascii="Arial" w:hAnsi="Arial" w:cs="Arial"/>
        <w:i/>
        <w:iCs/>
        <w:sz w:val="16"/>
        <w:szCs w:val="22"/>
      </w:rPr>
      <w:t xml:space="preserve">Associação Brasileira de Física Médica </w:t>
    </w:r>
    <w:r w:rsidR="00A33AE4" w:rsidRPr="006E41B3">
      <w:rPr>
        <w:rFonts w:ascii="Arial" w:hAnsi="Arial" w:cs="Arial"/>
        <w:i/>
        <w:iCs/>
        <w:sz w:val="16"/>
        <w:szCs w:val="22"/>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1B3" w:rsidRPr="006E41B3" w:rsidRDefault="006E41B3">
    <w:pPr>
      <w:pStyle w:val="Rodap"/>
      <w:jc w:val="right"/>
      <w:rPr>
        <w:rFonts w:ascii="Arial" w:hAnsi="Arial" w:cs="Arial"/>
        <w:sz w:val="16"/>
      </w:rPr>
    </w:pPr>
    <w:r>
      <w:rPr>
        <w:rFonts w:ascii="Arial" w:hAnsi="Arial" w:cs="Arial"/>
        <w:noProof/>
        <w:sz w:val="16"/>
      </w:rPr>
      <w:pict>
        <v:shapetype id="_x0000_t32" coordsize="21600,21600" o:spt="32" o:oned="t" path="m,l21600,21600e" filled="f">
          <v:path arrowok="t" fillok="f" o:connecttype="none"/>
          <o:lock v:ext="edit" shapetype="t"/>
        </v:shapetype>
        <v:shape id="_x0000_s2059" type="#_x0000_t32" style="position:absolute;left:0;text-align:left;margin-left:6.3pt;margin-top:-.4pt;width:470.55pt;height:0;z-index:251660288" o:connectortype="straight" strokecolor="gray"/>
      </w:pict>
    </w:r>
    <w:r w:rsidRPr="006E41B3">
      <w:rPr>
        <w:rFonts w:ascii="Arial" w:hAnsi="Arial" w:cs="Arial"/>
        <w:sz w:val="16"/>
      </w:rPr>
      <w:fldChar w:fldCharType="begin"/>
    </w:r>
    <w:r w:rsidRPr="006E41B3">
      <w:rPr>
        <w:rFonts w:ascii="Arial" w:hAnsi="Arial" w:cs="Arial"/>
        <w:sz w:val="16"/>
      </w:rPr>
      <w:instrText>PAGE   \* MERGEFORMAT</w:instrText>
    </w:r>
    <w:r w:rsidRPr="006E41B3">
      <w:rPr>
        <w:rFonts w:ascii="Arial" w:hAnsi="Arial" w:cs="Arial"/>
        <w:sz w:val="16"/>
      </w:rPr>
      <w:fldChar w:fldCharType="separate"/>
    </w:r>
    <w:r w:rsidR="00D762D7">
      <w:rPr>
        <w:rFonts w:ascii="Arial" w:hAnsi="Arial" w:cs="Arial"/>
        <w:noProof/>
        <w:sz w:val="16"/>
      </w:rPr>
      <w:t>2</w:t>
    </w:r>
    <w:r w:rsidRPr="006E41B3">
      <w:rPr>
        <w:rFonts w:ascii="Arial" w:hAnsi="Arial" w:cs="Arial"/>
        <w:sz w:val="16"/>
      </w:rPr>
      <w:fldChar w:fldCharType="end"/>
    </w:r>
  </w:p>
  <w:p w:rsidR="00104FF7" w:rsidRPr="006E41B3" w:rsidRDefault="006E41B3" w:rsidP="00104FF7">
    <w:pPr>
      <w:pStyle w:val="Rodap"/>
      <w:rPr>
        <w:rFonts w:ascii="Arial" w:hAnsi="Arial" w:cs="Arial"/>
        <w:i/>
        <w:iCs/>
        <w:sz w:val="16"/>
      </w:rPr>
    </w:pPr>
    <w:r w:rsidRPr="006E41B3">
      <w:rPr>
        <w:rFonts w:ascii="Arial" w:hAnsi="Arial" w:cs="Arial"/>
        <w:i/>
        <w:iCs/>
        <w:sz w:val="16"/>
        <w:szCs w:val="22"/>
      </w:rPr>
      <w:t>Associação Brasileira de Física Médica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0AA" w:rsidRPr="00A33AE4" w:rsidRDefault="00B960AA" w:rsidP="00B960AA">
    <w:pPr>
      <w:pStyle w:val="Rodap"/>
      <w:jc w:val="right"/>
      <w:rPr>
        <w:rFonts w:ascii="Arial" w:hAnsi="Arial" w:cs="Arial"/>
        <w:sz w:val="16"/>
        <w:szCs w:val="18"/>
      </w:rPr>
    </w:pPr>
    <w:r>
      <w:rPr>
        <w:rFonts w:ascii="Arial" w:hAnsi="Arial" w:cs="Arial"/>
        <w:noProof/>
        <w:sz w:val="16"/>
        <w:szCs w:val="18"/>
      </w:rPr>
      <w:pict>
        <v:shapetype id="_x0000_t32" coordsize="21600,21600" o:spt="32" o:oned="t" path="m,l21600,21600e" filled="f">
          <v:path arrowok="t" fillok="f" o:connecttype="none"/>
          <o:lock v:ext="edit" shapetype="t"/>
        </v:shapetype>
        <v:shape id="_x0000_s2057" type="#_x0000_t32" style="position:absolute;left:0;text-align:left;margin-left:0;margin-top:.15pt;width:476.85pt;height:0;z-index:251658240" o:connectortype="straight"/>
      </w:pict>
    </w:r>
    <w:r w:rsidRPr="00A33AE4">
      <w:rPr>
        <w:rFonts w:ascii="Arial" w:hAnsi="Arial" w:cs="Arial"/>
        <w:sz w:val="16"/>
        <w:szCs w:val="18"/>
      </w:rPr>
      <w:fldChar w:fldCharType="begin"/>
    </w:r>
    <w:r w:rsidRPr="00A33AE4">
      <w:rPr>
        <w:rFonts w:ascii="Arial" w:hAnsi="Arial" w:cs="Arial"/>
        <w:sz w:val="16"/>
        <w:szCs w:val="18"/>
      </w:rPr>
      <w:instrText xml:space="preserve"> PAGE   \* MERGEFORMAT </w:instrText>
    </w:r>
    <w:r w:rsidRPr="00A33AE4">
      <w:rPr>
        <w:rFonts w:ascii="Arial" w:hAnsi="Arial" w:cs="Arial"/>
        <w:sz w:val="16"/>
        <w:szCs w:val="18"/>
      </w:rPr>
      <w:fldChar w:fldCharType="separate"/>
    </w:r>
    <w:r w:rsidR="00342CB3">
      <w:rPr>
        <w:rFonts w:ascii="Arial" w:hAnsi="Arial" w:cs="Arial"/>
        <w:noProof/>
        <w:sz w:val="16"/>
        <w:szCs w:val="18"/>
      </w:rPr>
      <w:t>4</w:t>
    </w:r>
    <w:r w:rsidRPr="00A33AE4">
      <w:rPr>
        <w:rFonts w:ascii="Arial" w:hAnsi="Arial" w:cs="Arial"/>
        <w:sz w:val="16"/>
        <w:szCs w:val="18"/>
      </w:rPr>
      <w:fldChar w:fldCharType="end"/>
    </w:r>
  </w:p>
  <w:p w:rsidR="00B960AA" w:rsidRDefault="00B960AA" w:rsidP="00B960AA">
    <w:pPr>
      <w:pStyle w:val="Rodap"/>
      <w:rPr>
        <w:i/>
        <w:iCs/>
        <w:sz w:val="16"/>
      </w:rPr>
    </w:pPr>
    <w:r>
      <w:rPr>
        <w:rFonts w:ascii="Bitstream Vera Sans" w:hAnsi="Bitstream Vera Sans"/>
        <w:i/>
        <w:iCs/>
        <w:sz w:val="16"/>
        <w:szCs w:val="22"/>
      </w:rPr>
      <w:t>Associação Brasileira de Física Médica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CD4" w:rsidRDefault="00E10CD4">
      <w:r>
        <w:separator/>
      </w:r>
    </w:p>
  </w:footnote>
  <w:footnote w:type="continuationSeparator" w:id="0">
    <w:p w:rsidR="00E10CD4" w:rsidRDefault="00E10C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E85" w:rsidRPr="00026375" w:rsidRDefault="00956C78" w:rsidP="00956C78">
    <w:pPr>
      <w:pStyle w:val="Cabealho"/>
      <w:tabs>
        <w:tab w:val="clear" w:pos="4419"/>
        <w:tab w:val="clear" w:pos="8838"/>
      </w:tabs>
      <w:jc w:val="right"/>
      <w:rPr>
        <w:rFonts w:ascii="Arial" w:hAnsi="Arial" w:cs="Arial"/>
        <w:b/>
      </w:rPr>
    </w:pPr>
    <w:r w:rsidRPr="00026375">
      <w:rPr>
        <w:rFonts w:ascii="Arial" w:hAnsi="Arial" w:cs="Arial"/>
        <w:b/>
      </w:rPr>
      <w:t>Artigo Original</w:t>
    </w:r>
  </w:p>
  <w:p w:rsidR="00026375" w:rsidRPr="00104FF7" w:rsidRDefault="00026375" w:rsidP="00DB00C2">
    <w:pPr>
      <w:pStyle w:val="Cabealho"/>
      <w:tabs>
        <w:tab w:val="clear" w:pos="4419"/>
        <w:tab w:val="clear" w:pos="8838"/>
      </w:tabs>
      <w:spacing w:before="120"/>
      <w:jc w:val="right"/>
      <w:rPr>
        <w:rFonts w:ascii="Arial" w:hAnsi="Arial" w:cs="Arial"/>
        <w:i/>
        <w:sz w:val="16"/>
      </w:rPr>
    </w:pPr>
    <w:r w:rsidRPr="00104FF7">
      <w:rPr>
        <w:rFonts w:ascii="Arial" w:hAnsi="Arial" w:cs="Arial"/>
        <w:i/>
        <w:noProof/>
        <w:sz w:val="16"/>
      </w:rPr>
      <w:pict>
        <v:shapetype id="_x0000_t32" coordsize="21600,21600" o:spt="32" o:oned="t" path="m,l21600,21600e" filled="f">
          <v:path arrowok="t" fillok="f" o:connecttype="none"/>
          <o:lock v:ext="edit" shapetype="t"/>
        </v:shapetype>
        <v:shape id="_x0000_s2054" type="#_x0000_t32" style="position:absolute;left:0;text-align:left;margin-left:0;margin-top:1.9pt;width:480.2pt;height:0;z-index:251656192" o:connectortype="straight" strokecolor="gray"/>
      </w:pict>
    </w:r>
    <w:r w:rsidRPr="00104FF7">
      <w:rPr>
        <w:rFonts w:ascii="Arial" w:hAnsi="Arial" w:cs="Arial"/>
        <w:i/>
        <w:sz w:val="16"/>
      </w:rPr>
      <w:t xml:space="preserve">Revista Brasileira de Física Médica. </w:t>
    </w:r>
    <w:proofErr w:type="gramStart"/>
    <w:r w:rsidRPr="00104FF7">
      <w:rPr>
        <w:rFonts w:ascii="Arial" w:hAnsi="Arial" w:cs="Arial"/>
        <w:i/>
        <w:sz w:val="16"/>
      </w:rPr>
      <w:t>201X</w:t>
    </w:r>
    <w:proofErr w:type="gramEnd"/>
    <w:r w:rsidRPr="00104FF7">
      <w:rPr>
        <w:rFonts w:ascii="Arial" w:hAnsi="Arial" w:cs="Arial"/>
        <w:i/>
        <w:sz w:val="16"/>
      </w:rPr>
      <w:t>;X(X):X-X.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AE4" w:rsidRPr="004B6A73" w:rsidRDefault="00A33AE4" w:rsidP="004B6A73">
    <w:pPr>
      <w:pStyle w:val="Cabealho"/>
      <w:jc w:val="right"/>
      <w:rPr>
        <w:rFonts w:ascii="Arial" w:hAnsi="Arial" w:cs="Arial"/>
        <w:i/>
      </w:rPr>
    </w:pPr>
    <w:r w:rsidRPr="004B6A73">
      <w:rPr>
        <w:rFonts w:ascii="Arial" w:hAnsi="Arial" w:cs="Arial"/>
        <w:i/>
        <w:sz w:val="16"/>
      </w:rPr>
      <w:t xml:space="preserve">Revista Brasileira de Física Médica. </w:t>
    </w:r>
    <w:proofErr w:type="gramStart"/>
    <w:r w:rsidRPr="004B6A73">
      <w:rPr>
        <w:rFonts w:ascii="Arial" w:hAnsi="Arial" w:cs="Arial"/>
        <w:i/>
        <w:sz w:val="16"/>
      </w:rPr>
      <w:t>201X</w:t>
    </w:r>
    <w:proofErr w:type="gramEnd"/>
    <w:r w:rsidRPr="004B6A73">
      <w:rPr>
        <w:rFonts w:ascii="Arial" w:hAnsi="Arial" w:cs="Arial"/>
        <w:i/>
        <w:sz w:val="16"/>
      </w:rPr>
      <w:t>;X(X):X-X.</w:t>
    </w:r>
    <w:r w:rsidRPr="004B6A73">
      <w:rPr>
        <w:rFonts w:ascii="Arial" w:hAnsi="Arial" w:cs="Arial"/>
        <w:i/>
        <w:iCs/>
        <w:noProof/>
        <w:sz w:val="20"/>
      </w:rPr>
      <w:pict>
        <v:line id="_x0000_s2052" style="position:absolute;left:0;text-align:left;z-index:251655168;mso-position-horizontal-relative:text;mso-position-vertical-relative:text" from="0,9.35pt" to="476.85pt,9.35pt" strokecolor="gray"/>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E85" w:rsidRPr="004B6A73" w:rsidRDefault="004B6A73" w:rsidP="004B6A73">
    <w:pPr>
      <w:pStyle w:val="Cabealho"/>
      <w:jc w:val="right"/>
      <w:rPr>
        <w:rFonts w:ascii="Arial" w:hAnsi="Arial" w:cs="Arial"/>
        <w:i/>
      </w:rPr>
    </w:pPr>
    <w:r w:rsidRPr="004B6A73">
      <w:rPr>
        <w:rFonts w:ascii="Arial" w:hAnsi="Arial" w:cs="Arial"/>
        <w:i/>
        <w:sz w:val="16"/>
      </w:rPr>
      <w:t xml:space="preserve">Revista Brasileira de Física Médica. </w:t>
    </w:r>
    <w:proofErr w:type="gramStart"/>
    <w:r w:rsidRPr="004B6A73">
      <w:rPr>
        <w:rFonts w:ascii="Arial" w:hAnsi="Arial" w:cs="Arial"/>
        <w:i/>
        <w:sz w:val="16"/>
      </w:rPr>
      <w:t>201X</w:t>
    </w:r>
    <w:proofErr w:type="gramEnd"/>
    <w:r w:rsidRPr="004B6A73">
      <w:rPr>
        <w:rFonts w:ascii="Arial" w:hAnsi="Arial" w:cs="Arial"/>
        <w:i/>
        <w:sz w:val="16"/>
      </w:rPr>
      <w:t>;X(X):X-X.</w:t>
    </w:r>
    <w:r w:rsidRPr="004B6A73">
      <w:rPr>
        <w:rFonts w:ascii="Arial" w:hAnsi="Arial" w:cs="Arial"/>
        <w:i/>
        <w:iCs/>
        <w:noProof/>
        <w:sz w:val="20"/>
      </w:rPr>
      <w:pict>
        <v:line id="_x0000_s2055" style="position:absolute;left:0;text-align:left;z-index:251657216;mso-position-horizontal-relative:text;mso-position-vertical-relative:text" from="0,9.35pt" to="476.85pt,9.3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376BE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1B87ECF"/>
    <w:multiLevelType w:val="hybridMultilevel"/>
    <w:tmpl w:val="2ABA7B4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mirrorMargins/>
  <w:proofState w:spelling="clean" w:grammar="clean"/>
  <w:defaultTabStop w:val="709"/>
  <w:hyphenationZone w:val="425"/>
  <w:drawingGridHorizontalSpacing w:val="187"/>
  <w:displayVerticalDrawingGridEvery w:val="2"/>
  <w:noPunctuationKerning/>
  <w:characterSpacingControl w:val="doNotCompress"/>
  <w:hdrShapeDefaults>
    <o:shapedefaults v:ext="edit" spidmax="3074"/>
    <o:shapelayout v:ext="edit">
      <o:idmap v:ext="edit" data="2"/>
      <o:rules v:ext="edit">
        <o:r id="V:Rule1" type="connector" idref="#_x0000_s2054"/>
        <o:r id="V:Rule2" type="connector" idref="#_x0000_s2058"/>
        <o:r id="V:Rule3" type="connector" idref="#_x0000_s2057"/>
        <o:r id="V:Rule4" type="connector" idref="#_x0000_s2059"/>
      </o:rules>
    </o:shapelayout>
  </w:hdrShapeDefaults>
  <w:footnotePr>
    <w:footnote w:id="-1"/>
    <w:footnote w:id="0"/>
  </w:footnotePr>
  <w:endnotePr>
    <w:endnote w:id="-1"/>
    <w:endnote w:id="0"/>
  </w:endnotePr>
  <w:compat/>
  <w:rsids>
    <w:rsidRoot w:val="001C6087"/>
    <w:rsid w:val="00026375"/>
    <w:rsid w:val="000279C2"/>
    <w:rsid w:val="00090509"/>
    <w:rsid w:val="000C3C0B"/>
    <w:rsid w:val="000E1BD8"/>
    <w:rsid w:val="00104FF7"/>
    <w:rsid w:val="00126062"/>
    <w:rsid w:val="00176CB7"/>
    <w:rsid w:val="001779C2"/>
    <w:rsid w:val="001C6087"/>
    <w:rsid w:val="001F0D4D"/>
    <w:rsid w:val="0020160A"/>
    <w:rsid w:val="00221E85"/>
    <w:rsid w:val="00244582"/>
    <w:rsid w:val="00260DBA"/>
    <w:rsid w:val="002C5B4F"/>
    <w:rsid w:val="002E6F37"/>
    <w:rsid w:val="003048CB"/>
    <w:rsid w:val="00342CB3"/>
    <w:rsid w:val="003527BC"/>
    <w:rsid w:val="00400DBA"/>
    <w:rsid w:val="004B6A73"/>
    <w:rsid w:val="00545CE9"/>
    <w:rsid w:val="00550001"/>
    <w:rsid w:val="005D5C73"/>
    <w:rsid w:val="005F3B4A"/>
    <w:rsid w:val="006A5A5B"/>
    <w:rsid w:val="006D0B75"/>
    <w:rsid w:val="006E41B3"/>
    <w:rsid w:val="0077596D"/>
    <w:rsid w:val="008B1662"/>
    <w:rsid w:val="008B228B"/>
    <w:rsid w:val="008B34A7"/>
    <w:rsid w:val="00956C78"/>
    <w:rsid w:val="0096653A"/>
    <w:rsid w:val="009A5DD1"/>
    <w:rsid w:val="009D6607"/>
    <w:rsid w:val="00A33AE4"/>
    <w:rsid w:val="00B960AA"/>
    <w:rsid w:val="00BC51C7"/>
    <w:rsid w:val="00C23774"/>
    <w:rsid w:val="00C25088"/>
    <w:rsid w:val="00C43821"/>
    <w:rsid w:val="00D642B0"/>
    <w:rsid w:val="00D74C1C"/>
    <w:rsid w:val="00D762D7"/>
    <w:rsid w:val="00DB00C2"/>
    <w:rsid w:val="00E10CD4"/>
    <w:rsid w:val="00E13743"/>
    <w:rsid w:val="00ED2C7E"/>
    <w:rsid w:val="00EE2A2E"/>
    <w:rsid w:val="00EF57A8"/>
    <w:rsid w:val="00F95167"/>
    <w:rsid w:val="00FA3476"/>
    <w:rsid w:val="00FC05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character" w:styleId="HiperlinkVisitado">
    <w:name w:val="FollowedHyperlink"/>
    <w:semiHidden/>
    <w:rPr>
      <w:color w:val="800080"/>
      <w:u w:val="single"/>
    </w:rPr>
  </w:style>
  <w:style w:type="character" w:styleId="Hyperlink">
    <w:name w:val="Hyperlink"/>
    <w:semiHidden/>
    <w:rPr>
      <w:color w:val="0000FF"/>
      <w:u w:val="single"/>
    </w:rPr>
  </w:style>
  <w:style w:type="paragraph" w:styleId="NormalWeb">
    <w:name w:val="Normal (Web)"/>
    <w:basedOn w:val="Normal"/>
    <w:uiPriority w:val="99"/>
    <w:semiHidden/>
    <w:pPr>
      <w:spacing w:before="100" w:beforeAutospacing="1" w:after="100" w:afterAutospacing="1"/>
    </w:pPr>
    <w:rPr>
      <w:rFonts w:ascii="Arial Unicode MS" w:hAnsi="Arial Unicode MS"/>
      <w:sz w:val="23"/>
      <w:szCs w:val="23"/>
    </w:rPr>
  </w:style>
  <w:style w:type="paragraph" w:styleId="Textodebalo">
    <w:name w:val="Balloon Text"/>
    <w:basedOn w:val="Normal"/>
    <w:semiHidden/>
    <w:unhideWhenUsed/>
    <w:rPr>
      <w:rFonts w:ascii="Tahoma" w:hAnsi="Tahoma" w:cs="Tahoma"/>
      <w:sz w:val="16"/>
      <w:szCs w:val="16"/>
    </w:rPr>
  </w:style>
  <w:style w:type="character" w:customStyle="1" w:styleId="TextodebaloChar">
    <w:name w:val="Texto de balão Char"/>
    <w:semiHidden/>
    <w:rPr>
      <w:rFonts w:ascii="Tahoma" w:hAnsi="Tahoma" w:cs="Tahoma"/>
      <w:sz w:val="16"/>
      <w:szCs w:val="16"/>
    </w:rPr>
  </w:style>
  <w:style w:type="character" w:styleId="Refdecomentrio">
    <w:name w:val="annotation reference"/>
    <w:semiHidden/>
    <w:unhideWhenUsed/>
    <w:rPr>
      <w:sz w:val="16"/>
      <w:szCs w:val="16"/>
    </w:rPr>
  </w:style>
  <w:style w:type="paragraph" w:styleId="Textodecomentrio">
    <w:name w:val="annotation text"/>
    <w:basedOn w:val="Normal"/>
    <w:semiHidden/>
    <w:unhideWhenUsed/>
    <w:rPr>
      <w:sz w:val="20"/>
      <w:szCs w:val="20"/>
    </w:rPr>
  </w:style>
  <w:style w:type="character" w:customStyle="1" w:styleId="TextodecomentrioChar">
    <w:name w:val="Texto de comentário Char"/>
    <w:basedOn w:val="Fontepargpadro"/>
    <w:semiHidden/>
  </w:style>
  <w:style w:type="paragraph" w:styleId="Assuntodocomentrio">
    <w:name w:val="annotation subject"/>
    <w:basedOn w:val="Textodecomentrio"/>
    <w:next w:val="Textodecomentrio"/>
    <w:semiHidden/>
    <w:unhideWhenUsed/>
    <w:rPr>
      <w:b/>
      <w:bCs/>
    </w:rPr>
  </w:style>
  <w:style w:type="character" w:customStyle="1" w:styleId="AssuntodocomentrioChar">
    <w:name w:val="Assunto do comentário Char"/>
    <w:semiHidden/>
    <w:rPr>
      <w:b/>
      <w:bCs/>
    </w:rPr>
  </w:style>
  <w:style w:type="character" w:customStyle="1" w:styleId="RodapChar">
    <w:name w:val="Rodapé Char"/>
    <w:link w:val="Rodap"/>
    <w:uiPriority w:val="99"/>
    <w:rsid w:val="00A33AE4"/>
    <w:rPr>
      <w:sz w:val="24"/>
      <w:szCs w:val="24"/>
    </w:rPr>
  </w:style>
  <w:style w:type="character" w:styleId="Forte">
    <w:name w:val="Strong"/>
    <w:uiPriority w:val="22"/>
    <w:qFormat/>
    <w:rsid w:val="00FC0500"/>
    <w:rPr>
      <w:b/>
      <w:bCs/>
    </w:rPr>
  </w:style>
  <w:style w:type="paragraph" w:customStyle="1" w:styleId="Default">
    <w:name w:val="Default"/>
    <w:rsid w:val="009D6607"/>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70611941">
      <w:bodyDiv w:val="1"/>
      <w:marLeft w:val="0"/>
      <w:marRight w:val="0"/>
      <w:marTop w:val="0"/>
      <w:marBottom w:val="0"/>
      <w:divBdr>
        <w:top w:val="none" w:sz="0" w:space="0" w:color="auto"/>
        <w:left w:val="none" w:sz="0" w:space="0" w:color="auto"/>
        <w:bottom w:val="none" w:sz="0" w:space="0" w:color="auto"/>
        <w:right w:val="none" w:sz="0" w:space="0" w:color="auto"/>
      </w:divBdr>
    </w:div>
    <w:div w:id="397754071">
      <w:bodyDiv w:val="1"/>
      <w:marLeft w:val="0"/>
      <w:marRight w:val="0"/>
      <w:marTop w:val="0"/>
      <w:marBottom w:val="0"/>
      <w:divBdr>
        <w:top w:val="none" w:sz="0" w:space="0" w:color="auto"/>
        <w:left w:val="none" w:sz="0" w:space="0" w:color="auto"/>
        <w:bottom w:val="none" w:sz="0" w:space="0" w:color="auto"/>
        <w:right w:val="none" w:sz="0" w:space="0" w:color="auto"/>
      </w:divBdr>
    </w:div>
    <w:div w:id="578366378">
      <w:bodyDiv w:val="1"/>
      <w:marLeft w:val="0"/>
      <w:marRight w:val="0"/>
      <w:marTop w:val="0"/>
      <w:marBottom w:val="0"/>
      <w:divBdr>
        <w:top w:val="none" w:sz="0" w:space="0" w:color="auto"/>
        <w:left w:val="none" w:sz="0" w:space="0" w:color="auto"/>
        <w:bottom w:val="none" w:sz="0" w:space="0" w:color="auto"/>
        <w:right w:val="none" w:sz="0" w:space="0" w:color="auto"/>
      </w:divBdr>
    </w:div>
    <w:div w:id="91123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2526</Words>
  <Characters>13644</Characters>
  <Application>Microsoft Office Word</Application>
  <DocSecurity>0</DocSecurity>
  <Lines>113</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Template_Artigos_XIV_Congresso_Brasileiro_de_Física_Médica</vt:lpstr>
      <vt:lpstr>Template_Artigos_XIV_Congresso_Brasileiro_de_Física_Médica</vt:lpstr>
    </vt:vector>
  </TitlesOfParts>
  <Company/>
  <LinksUpToDate>false</LinksUpToDate>
  <CharactersWithSpaces>16138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Template_Artigos_XIV_Congresso_Brasileiro_de_Física_Médica</dc:title>
  <dc:subject/>
  <dc:creator>Homero Martins</dc:creator>
  <cp:keywords/>
  <dc:description/>
  <cp:lastModifiedBy>HSL</cp:lastModifiedBy>
  <cp:revision>3</cp:revision>
  <dcterms:created xsi:type="dcterms:W3CDTF">2016-09-23T19:28:00Z</dcterms:created>
  <dcterms:modified xsi:type="dcterms:W3CDTF">2016-09-23T19:31:00Z</dcterms:modified>
</cp:coreProperties>
</file>